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DE5E" w14:textId="6B86B107" w:rsidR="009557C1" w:rsidRDefault="009557C1" w:rsidP="002B257C">
      <w:pPr>
        <w:autoSpaceDE w:val="0"/>
        <w:autoSpaceDN w:val="0"/>
        <w:adjustRightInd w:val="0"/>
        <w:spacing w:after="240" w:line="340" w:lineRule="atLeast"/>
        <w:rPr>
          <w:rFonts w:ascii="Arial" w:hAnsi="Arial" w:cs="Arial"/>
          <w:b/>
          <w:bCs/>
          <w:color w:val="000000"/>
          <w:sz w:val="29"/>
          <w:szCs w:val="29"/>
        </w:rPr>
      </w:pPr>
      <w:r w:rsidRPr="003F3723">
        <w:rPr>
          <w:noProof/>
          <w:sz w:val="28"/>
          <w:szCs w:val="28"/>
        </w:rPr>
        <w:drawing>
          <wp:inline distT="0" distB="0" distL="0" distR="0" wp14:anchorId="6728E1F9" wp14:editId="6491F595">
            <wp:extent cx="1600200" cy="723900"/>
            <wp:effectExtent l="0" t="0" r="0" b="0"/>
            <wp:docPr id="1" name="Picture 1" descr="email sig Vertical_Colored_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 Vertical_Colored_C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r>
        <w:rPr>
          <w:rFonts w:ascii="Arial" w:hAnsi="Arial" w:cs="Arial"/>
          <w:b/>
          <w:bCs/>
          <w:color w:val="000000"/>
          <w:sz w:val="29"/>
          <w:szCs w:val="29"/>
        </w:rPr>
        <w:t>__________________________________________________________</w:t>
      </w:r>
    </w:p>
    <w:p w14:paraId="58D9EE25" w14:textId="2B71E24F" w:rsidR="00445A35" w:rsidRPr="005F1973" w:rsidRDefault="00445A35" w:rsidP="005F1973">
      <w:pPr>
        <w:pStyle w:val="Style1"/>
      </w:pPr>
      <w:r w:rsidRPr="005F1973">
        <w:t>TIPS FOR LAWYERS</w:t>
      </w:r>
    </w:p>
    <w:p w14:paraId="582AAB11" w14:textId="10B3EE5C" w:rsidR="008F7AAF" w:rsidRPr="005F1973" w:rsidRDefault="002B257C" w:rsidP="00445A35">
      <w:pPr>
        <w:autoSpaceDE w:val="0"/>
        <w:autoSpaceDN w:val="0"/>
        <w:adjustRightInd w:val="0"/>
        <w:spacing w:before="240" w:after="240" w:line="340" w:lineRule="atLeast"/>
        <w:rPr>
          <w:rFonts w:cs="Times New Roman"/>
          <w:color w:val="000000"/>
        </w:rPr>
      </w:pPr>
      <w:r w:rsidRPr="005F1973">
        <w:rPr>
          <w:rFonts w:cs="Times New Roman"/>
          <w:b/>
          <w:bCs/>
          <w:color w:val="000000"/>
        </w:rPr>
        <w:t xml:space="preserve">EVIDENCE </w:t>
      </w:r>
    </w:p>
    <w:p w14:paraId="3412AF5F" w14:textId="2AF43E01" w:rsidR="002B257C" w:rsidRPr="005F1973" w:rsidRDefault="002B257C" w:rsidP="002B257C">
      <w:pPr>
        <w:autoSpaceDE w:val="0"/>
        <w:autoSpaceDN w:val="0"/>
        <w:adjustRightInd w:val="0"/>
        <w:spacing w:after="240" w:line="340" w:lineRule="atLeast"/>
        <w:rPr>
          <w:rFonts w:cs="Times New Roman"/>
          <w:color w:val="000000"/>
        </w:rPr>
      </w:pPr>
      <w:r w:rsidRPr="005F1973">
        <w:rPr>
          <w:rFonts w:cs="Times New Roman"/>
          <w:b/>
          <w:bCs/>
          <w:color w:val="000000"/>
        </w:rPr>
        <w:t xml:space="preserve">To what extent do the Rules of Evidence apply in </w:t>
      </w:r>
      <w:r w:rsidR="00403343">
        <w:rPr>
          <w:rFonts w:cs="Times New Roman"/>
          <w:b/>
          <w:bCs/>
          <w:color w:val="000000"/>
        </w:rPr>
        <w:t>Juvenile C</w:t>
      </w:r>
      <w:r w:rsidRPr="005F1973">
        <w:rPr>
          <w:rFonts w:cs="Times New Roman"/>
          <w:b/>
          <w:bCs/>
          <w:color w:val="000000"/>
        </w:rPr>
        <w:t xml:space="preserve">ourt proceedings? </w:t>
      </w:r>
    </w:p>
    <w:p w14:paraId="4BDE957F" w14:textId="49DEEF79" w:rsidR="002B257C" w:rsidRPr="005F1973" w:rsidRDefault="002B257C" w:rsidP="002B257C">
      <w:pPr>
        <w:autoSpaceDE w:val="0"/>
        <w:autoSpaceDN w:val="0"/>
        <w:adjustRightInd w:val="0"/>
        <w:spacing w:after="240" w:line="300" w:lineRule="atLeast"/>
        <w:rPr>
          <w:rFonts w:cs="Times New Roman"/>
          <w:color w:val="000000"/>
        </w:rPr>
      </w:pPr>
      <w:r w:rsidRPr="005F1973">
        <w:rPr>
          <w:rFonts w:cs="Times New Roman"/>
          <w:color w:val="000000"/>
        </w:rPr>
        <w:t>Although there is a perception that the Rules of Evidence do not apply in Juvenile Court proceedings, Connecticut Code of Evidence § 1-1</w:t>
      </w:r>
      <w:r w:rsidR="006C068A" w:rsidRPr="005F1973">
        <w:rPr>
          <w:rFonts w:cs="Times New Roman"/>
          <w:color w:val="000000"/>
        </w:rPr>
        <w:t xml:space="preserve">(b) specifically provides that </w:t>
      </w:r>
      <w:r w:rsidRPr="005F1973">
        <w:rPr>
          <w:rFonts w:cs="Times New Roman"/>
          <w:color w:val="000000"/>
        </w:rPr>
        <w:t xml:space="preserve">the Code applies </w:t>
      </w:r>
      <w:r w:rsidR="007B36FF" w:rsidRPr="005F1973">
        <w:rPr>
          <w:rFonts w:cs="Times New Roman"/>
          <w:color w:val="000000"/>
        </w:rPr>
        <w:t>“to all proceedings in the Superior C</w:t>
      </w:r>
      <w:r w:rsidRPr="005F1973">
        <w:rPr>
          <w:rFonts w:cs="Times New Roman"/>
          <w:color w:val="000000"/>
        </w:rPr>
        <w:t>ourt in which facts in dispute are found, except as otherwise provided by the Code, the General Statutes or the Practice Book</w:t>
      </w:r>
      <w:r w:rsidR="007B36FF" w:rsidRPr="005F1973">
        <w:rPr>
          <w:rFonts w:cs="Times New Roman"/>
          <w:color w:val="000000"/>
        </w:rPr>
        <w:t>….</w:t>
      </w:r>
      <w:r w:rsidRPr="005F1973">
        <w:rPr>
          <w:rFonts w:cs="Times New Roman"/>
          <w:color w:val="000000"/>
        </w:rPr>
        <w:t xml:space="preserve">” </w:t>
      </w:r>
    </w:p>
    <w:p w14:paraId="3519F5A4" w14:textId="4597521D" w:rsidR="002B257C" w:rsidRPr="005F1973" w:rsidRDefault="002B257C" w:rsidP="002B257C">
      <w:pPr>
        <w:autoSpaceDE w:val="0"/>
        <w:autoSpaceDN w:val="0"/>
        <w:adjustRightInd w:val="0"/>
        <w:spacing w:after="240" w:line="300" w:lineRule="atLeast"/>
        <w:rPr>
          <w:rFonts w:cs="Times New Roman"/>
          <w:color w:val="000000"/>
        </w:rPr>
      </w:pPr>
      <w:r w:rsidRPr="005F1973">
        <w:rPr>
          <w:rFonts w:cs="Times New Roman"/>
          <w:color w:val="000000"/>
        </w:rPr>
        <w:t>Accordingly, the Rules of Evidence must be r</w:t>
      </w:r>
      <w:r w:rsidR="0072366C" w:rsidRPr="005F1973">
        <w:rPr>
          <w:rFonts w:cs="Times New Roman"/>
          <w:color w:val="000000"/>
        </w:rPr>
        <w:t>ead in conjunction with Conn. Practice Book</w:t>
      </w:r>
      <w:r w:rsidRPr="005F1973">
        <w:rPr>
          <w:rFonts w:cs="Times New Roman"/>
          <w:color w:val="000000"/>
        </w:rPr>
        <w:t xml:space="preserve"> § 32</w:t>
      </w:r>
      <w:r w:rsidR="0072366C" w:rsidRPr="005F1973">
        <w:rPr>
          <w:rFonts w:cs="Times New Roman"/>
          <w:color w:val="000000"/>
        </w:rPr>
        <w:t>a-2</w:t>
      </w:r>
      <w:r w:rsidR="00403343">
        <w:rPr>
          <w:rFonts w:cs="Times New Roman"/>
          <w:color w:val="000000"/>
        </w:rPr>
        <w:t>,</w:t>
      </w:r>
      <w:r w:rsidR="0072366C" w:rsidRPr="005F1973">
        <w:rPr>
          <w:rFonts w:cs="Times New Roman"/>
          <w:color w:val="000000"/>
        </w:rPr>
        <w:t xml:space="preserve"> which provides that “T</w:t>
      </w:r>
      <w:r w:rsidRPr="005F1973">
        <w:rPr>
          <w:rFonts w:cs="Times New Roman"/>
          <w:color w:val="000000"/>
        </w:rPr>
        <w:t>estimony may be given in narrative form and the proceedings shall at all times be as informal as the requirements of due process and fairness permit.” Additionally, P.B. § 35a-9 provides that during the dispositional hearing, the court may “admit into evidence any testimony relevant and material to the issue of the disposition, including events occurring through the close of the evidentiary hearing</w:t>
      </w:r>
      <w:r w:rsidR="0072366C" w:rsidRPr="005F1973">
        <w:rPr>
          <w:rFonts w:cs="Times New Roman"/>
          <w:color w:val="000000"/>
        </w:rPr>
        <w:t>….</w:t>
      </w:r>
      <w:r w:rsidRPr="005F1973">
        <w:rPr>
          <w:rFonts w:cs="Times New Roman"/>
          <w:color w:val="000000"/>
        </w:rPr>
        <w:t xml:space="preserve">” </w:t>
      </w:r>
    </w:p>
    <w:p w14:paraId="3FF15983" w14:textId="24230027" w:rsidR="002B257C" w:rsidRPr="005F1973" w:rsidRDefault="002B257C" w:rsidP="00684329">
      <w:pPr>
        <w:rPr>
          <w:rFonts w:cs="Times New Roman"/>
          <w:color w:val="000000"/>
        </w:rPr>
      </w:pPr>
      <w:r w:rsidRPr="005F1973">
        <w:rPr>
          <w:rFonts w:cs="Times New Roman"/>
          <w:color w:val="000000"/>
        </w:rPr>
        <w:t xml:space="preserve">Finally, the Connecticut </w:t>
      </w:r>
      <w:r w:rsidR="00403343">
        <w:rPr>
          <w:rFonts w:cs="Times New Roman"/>
          <w:color w:val="000000"/>
        </w:rPr>
        <w:t>Appellate C</w:t>
      </w:r>
      <w:r w:rsidRPr="005F1973">
        <w:rPr>
          <w:rFonts w:cs="Times New Roman"/>
          <w:color w:val="000000"/>
        </w:rPr>
        <w:t xml:space="preserve">ourt in </w:t>
      </w:r>
      <w:r w:rsidRPr="005F1973">
        <w:rPr>
          <w:rFonts w:cs="Times New Roman"/>
          <w:i/>
          <w:iCs/>
          <w:color w:val="000000"/>
        </w:rPr>
        <w:t>In re Juvenile Appeal</w:t>
      </w:r>
      <w:r w:rsidRPr="005F1973">
        <w:rPr>
          <w:rFonts w:cs="Times New Roman"/>
          <w:color w:val="000000"/>
        </w:rPr>
        <w:t>, said that a juvenile proceeding “is essentially civil in nature and that certain procedural informalities are constitutionally permissible.” 3 Conn App. 184</w:t>
      </w:r>
      <w:r w:rsidR="00E554E8" w:rsidRPr="005F1973">
        <w:rPr>
          <w:rFonts w:cs="Times New Roman"/>
          <w:color w:val="000000"/>
        </w:rPr>
        <w:t>, 190</w:t>
      </w:r>
      <w:r w:rsidR="00684329" w:rsidRPr="005F1973">
        <w:rPr>
          <w:rFonts w:cs="Times New Roman"/>
          <w:color w:val="000000"/>
        </w:rPr>
        <w:t xml:space="preserve"> (1986). Citing the Connecticut Supreme Court in </w:t>
      </w:r>
      <w:r w:rsidR="00684329" w:rsidRPr="005F1973">
        <w:rPr>
          <w:rFonts w:cs="Times New Roman"/>
          <w:i/>
          <w:color w:val="000000"/>
        </w:rPr>
        <w:t>Anonymous v. Norton</w:t>
      </w:r>
      <w:r w:rsidR="00684329" w:rsidRPr="005F1973">
        <w:rPr>
          <w:rFonts w:cs="Times New Roman"/>
          <w:color w:val="000000"/>
        </w:rPr>
        <w:t xml:space="preserve">, 168 Conn. 421, 425, </w:t>
      </w:r>
      <w:r w:rsidR="00684329" w:rsidRPr="005F1973">
        <w:rPr>
          <w:rFonts w:cs="Times New Roman"/>
          <w:i/>
          <w:color w:val="000000"/>
        </w:rPr>
        <w:t>cert. denied</w:t>
      </w:r>
      <w:r w:rsidR="00684329" w:rsidRPr="005F1973">
        <w:rPr>
          <w:rFonts w:cs="Times New Roman"/>
          <w:color w:val="000000"/>
        </w:rPr>
        <w:t>, 96 S.Ct. 294 (1975),</w:t>
      </w:r>
      <w:r w:rsidR="00684329" w:rsidRPr="005F1973">
        <w:rPr>
          <w:rFonts w:eastAsia="Times New Roman" w:cs="Times New Roman"/>
        </w:rPr>
        <w:t xml:space="preserve"> </w:t>
      </w:r>
      <w:r w:rsidR="00684329" w:rsidRPr="005F1973">
        <w:rPr>
          <w:rFonts w:cs="Times New Roman"/>
          <w:color w:val="000000"/>
        </w:rPr>
        <w:t>th</w:t>
      </w:r>
      <w:r w:rsidR="00403343">
        <w:rPr>
          <w:rFonts w:cs="Times New Roman"/>
          <w:color w:val="000000"/>
        </w:rPr>
        <w:t>e Appellate C</w:t>
      </w:r>
      <w:r w:rsidRPr="005F1973">
        <w:rPr>
          <w:rFonts w:cs="Times New Roman"/>
          <w:color w:val="000000"/>
        </w:rPr>
        <w:t xml:space="preserve">ourt cautioned, however, that despite the “guise of informality ... procedural safeguards cannot be swept away.” Accordingly, the </w:t>
      </w:r>
      <w:r w:rsidR="00403343">
        <w:rPr>
          <w:rFonts w:cs="Times New Roman"/>
          <w:color w:val="000000"/>
        </w:rPr>
        <w:t>A</w:t>
      </w:r>
      <w:r w:rsidR="007B2BD1" w:rsidRPr="005F1973">
        <w:rPr>
          <w:rFonts w:cs="Times New Roman"/>
          <w:color w:val="000000"/>
        </w:rPr>
        <w:t xml:space="preserve">ppellate </w:t>
      </w:r>
      <w:r w:rsidR="00403343">
        <w:rPr>
          <w:rFonts w:cs="Times New Roman"/>
          <w:color w:val="000000"/>
        </w:rPr>
        <w:t>C</w:t>
      </w:r>
      <w:r w:rsidRPr="005F1973">
        <w:rPr>
          <w:rFonts w:cs="Times New Roman"/>
          <w:color w:val="000000"/>
        </w:rPr>
        <w:t xml:space="preserve">ourt determined that a “liberal rather than a strict application of the formal rules of evidence” may be permitted, so long as “due process is observed. ... [Yet] where such evidence is likely to be determinative of the matter, the court should return to the more formal rules of evidence.” </w:t>
      </w:r>
      <w:r w:rsidRPr="005F1973">
        <w:rPr>
          <w:rFonts w:cs="Times New Roman"/>
          <w:i/>
          <w:iCs/>
          <w:color w:val="000000"/>
        </w:rPr>
        <w:t>Id</w:t>
      </w:r>
      <w:r w:rsidRPr="005F1973">
        <w:rPr>
          <w:rFonts w:cs="Times New Roman"/>
          <w:color w:val="000000"/>
        </w:rPr>
        <w:t xml:space="preserve">. </w:t>
      </w:r>
    </w:p>
    <w:p w14:paraId="77939F38" w14:textId="6CF268DC" w:rsidR="007B2BD1" w:rsidRPr="005F1973" w:rsidRDefault="007B2BD1" w:rsidP="00684329">
      <w:pPr>
        <w:rPr>
          <w:rFonts w:eastAsia="Times New Roman" w:cs="Times New Roman"/>
        </w:rPr>
      </w:pPr>
    </w:p>
    <w:p w14:paraId="54BE04F3" w14:textId="77777777" w:rsidR="009557C1" w:rsidRPr="005F1973" w:rsidRDefault="002B257C" w:rsidP="002B257C">
      <w:pPr>
        <w:autoSpaceDE w:val="0"/>
        <w:autoSpaceDN w:val="0"/>
        <w:adjustRightInd w:val="0"/>
        <w:spacing w:after="240" w:line="340" w:lineRule="atLeast"/>
        <w:rPr>
          <w:rFonts w:cs="Times New Roman"/>
          <w:b/>
          <w:bCs/>
          <w:color w:val="000000"/>
        </w:rPr>
      </w:pPr>
      <w:r w:rsidRPr="005F1973">
        <w:rPr>
          <w:rFonts w:cs="Times New Roman"/>
          <w:b/>
          <w:bCs/>
          <w:color w:val="000000"/>
        </w:rPr>
        <w:t>HEARSAY</w:t>
      </w:r>
    </w:p>
    <w:p w14:paraId="2903D4A0" w14:textId="1AAF5E36" w:rsidR="002B257C" w:rsidRPr="005F1973" w:rsidRDefault="002B257C" w:rsidP="002B257C">
      <w:pPr>
        <w:autoSpaceDE w:val="0"/>
        <w:autoSpaceDN w:val="0"/>
        <w:adjustRightInd w:val="0"/>
        <w:spacing w:after="240" w:line="340" w:lineRule="atLeast"/>
        <w:rPr>
          <w:rFonts w:cs="Times New Roman"/>
          <w:color w:val="000000"/>
        </w:rPr>
      </w:pPr>
      <w:r w:rsidRPr="005F1973">
        <w:rPr>
          <w:rFonts w:cs="Times New Roman"/>
          <w:b/>
          <w:bCs/>
          <w:color w:val="000000"/>
        </w:rPr>
        <w:t xml:space="preserve">Hearsay standard of review </w:t>
      </w:r>
    </w:p>
    <w:p w14:paraId="480BF17B" w14:textId="4C806E01" w:rsidR="00902A83" w:rsidRPr="005F1973" w:rsidRDefault="002B257C" w:rsidP="00225D14">
      <w:pPr>
        <w:autoSpaceDE w:val="0"/>
        <w:autoSpaceDN w:val="0"/>
        <w:adjustRightInd w:val="0"/>
        <w:spacing w:line="300" w:lineRule="atLeast"/>
        <w:rPr>
          <w:rFonts w:cs="Times New Roman"/>
          <w:color w:val="000000"/>
        </w:rPr>
      </w:pPr>
      <w:r w:rsidRPr="005F1973">
        <w:rPr>
          <w:rFonts w:cs="Times New Roman"/>
          <w:color w:val="000000"/>
        </w:rPr>
        <w:t xml:space="preserve">The standard of review for rulings on admissibility of evidence is ordinarily “abuse of discretion.” </w:t>
      </w:r>
      <w:r w:rsidRPr="005F1973">
        <w:rPr>
          <w:rFonts w:cs="Times New Roman"/>
          <w:i/>
          <w:iCs/>
          <w:color w:val="000000"/>
        </w:rPr>
        <w:t xml:space="preserve">In </w:t>
      </w:r>
      <w:r w:rsidR="006347AE" w:rsidRPr="005F1973">
        <w:rPr>
          <w:rFonts w:cs="Times New Roman"/>
          <w:i/>
          <w:iCs/>
          <w:color w:val="000000"/>
        </w:rPr>
        <w:t>re Tayler F</w:t>
      </w:r>
      <w:r w:rsidRPr="005F1973">
        <w:rPr>
          <w:rFonts w:cs="Times New Roman"/>
          <w:i/>
          <w:iCs/>
          <w:color w:val="000000"/>
        </w:rPr>
        <w:t xml:space="preserve">., </w:t>
      </w:r>
      <w:r w:rsidR="006347AE" w:rsidRPr="005F1973">
        <w:rPr>
          <w:rFonts w:cs="Times New Roman"/>
          <w:color w:val="000000"/>
        </w:rPr>
        <w:t>296 Conn.</w:t>
      </w:r>
      <w:r w:rsidR="006F13D8" w:rsidRPr="005F1973">
        <w:rPr>
          <w:rFonts w:cs="Times New Roman"/>
          <w:color w:val="000000"/>
        </w:rPr>
        <w:t xml:space="preserve"> 524, 537 (2010</w:t>
      </w:r>
      <w:r w:rsidRPr="005F1973">
        <w:rPr>
          <w:rFonts w:cs="Times New Roman"/>
          <w:color w:val="000000"/>
        </w:rPr>
        <w:t xml:space="preserve">). A hearsay challenge is a claim of erroneous evidentiary ruling and as such does not implicate the constitution. </w:t>
      </w:r>
      <w:r w:rsidRPr="005F1973">
        <w:rPr>
          <w:rFonts w:cs="Times New Roman"/>
          <w:i/>
          <w:iCs/>
          <w:color w:val="000000"/>
        </w:rPr>
        <w:t xml:space="preserve">State v. </w:t>
      </w:r>
      <w:r w:rsidR="00833548" w:rsidRPr="005F1973">
        <w:rPr>
          <w:rFonts w:cs="Times New Roman"/>
          <w:i/>
          <w:iCs/>
          <w:color w:val="000000"/>
        </w:rPr>
        <w:t>Heredia</w:t>
      </w:r>
      <w:r w:rsidR="00902A83" w:rsidRPr="005F1973">
        <w:rPr>
          <w:rFonts w:cs="Times New Roman"/>
          <w:color w:val="000000"/>
        </w:rPr>
        <w:t>, 139 Conn. App. 319, 332 (2012</w:t>
      </w:r>
      <w:r w:rsidRPr="005F1973">
        <w:rPr>
          <w:rFonts w:cs="Times New Roman"/>
          <w:color w:val="000000"/>
        </w:rPr>
        <w:t xml:space="preserve">). </w:t>
      </w:r>
    </w:p>
    <w:p w14:paraId="76090C14" w14:textId="77777777" w:rsidR="00225D14" w:rsidRPr="005F1973" w:rsidRDefault="00225D14" w:rsidP="00225D14">
      <w:pPr>
        <w:rPr>
          <w:rFonts w:cs="Times New Roman"/>
        </w:rPr>
      </w:pPr>
    </w:p>
    <w:p w14:paraId="1300D665" w14:textId="5F936261" w:rsidR="002B257C" w:rsidRPr="005F1973" w:rsidRDefault="002B257C" w:rsidP="00225D14">
      <w:pPr>
        <w:rPr>
          <w:rFonts w:cs="Times New Roman"/>
        </w:rPr>
      </w:pPr>
      <w:r w:rsidRPr="005F1973">
        <w:rPr>
          <w:rFonts w:cs="Times New Roman"/>
        </w:rPr>
        <w:t xml:space="preserve">Even if the admission of hearsay was improper, it must also be established that the ruling was improper and likely to affect the result of the trial. </w:t>
      </w:r>
      <w:r w:rsidRPr="005F1973">
        <w:rPr>
          <w:rFonts w:cs="Times New Roman"/>
          <w:i/>
          <w:iCs/>
        </w:rPr>
        <w:t xml:space="preserve">In re </w:t>
      </w:r>
      <w:r w:rsidR="00902A83" w:rsidRPr="005F1973">
        <w:rPr>
          <w:rFonts w:cs="Times New Roman"/>
          <w:i/>
          <w:iCs/>
        </w:rPr>
        <w:t>Tayler F</w:t>
      </w:r>
      <w:r w:rsidR="00902A83" w:rsidRPr="005F1973">
        <w:rPr>
          <w:rFonts w:cs="Times New Roman"/>
        </w:rPr>
        <w:t xml:space="preserve">., 111 Conn. App. </w:t>
      </w:r>
      <w:r w:rsidRPr="005F1973">
        <w:rPr>
          <w:rFonts w:cs="Times New Roman"/>
        </w:rPr>
        <w:t>2</w:t>
      </w:r>
      <w:r w:rsidR="00902A83" w:rsidRPr="005F1973">
        <w:rPr>
          <w:rFonts w:cs="Times New Roman"/>
        </w:rPr>
        <w:t>8, 61-62 (2008</w:t>
      </w:r>
      <w:r w:rsidRPr="005F1973">
        <w:rPr>
          <w:rFonts w:cs="Times New Roman"/>
        </w:rPr>
        <w:t>)</w:t>
      </w:r>
      <w:r w:rsidR="00902A83" w:rsidRPr="005F1973">
        <w:rPr>
          <w:rFonts w:cs="Times New Roman"/>
        </w:rPr>
        <w:t xml:space="preserve">, </w:t>
      </w:r>
      <w:r w:rsidR="00902A83" w:rsidRPr="005F1973">
        <w:rPr>
          <w:rFonts w:cs="Times New Roman"/>
          <w:i/>
        </w:rPr>
        <w:t>aff’d</w:t>
      </w:r>
      <w:r w:rsidR="00902A83" w:rsidRPr="005F1973">
        <w:rPr>
          <w:rFonts w:cs="Times New Roman"/>
        </w:rPr>
        <w:t>, 296 Conn. 524 (2010)</w:t>
      </w:r>
      <w:r w:rsidRPr="005F1973">
        <w:rPr>
          <w:rFonts w:cs="Times New Roman"/>
        </w:rPr>
        <w:t xml:space="preserve">. </w:t>
      </w:r>
      <w:r w:rsidR="002A6771" w:rsidRPr="005F1973">
        <w:rPr>
          <w:rFonts w:cs="Times New Roman"/>
        </w:rPr>
        <w:t>It is well established that j</w:t>
      </w:r>
      <w:r w:rsidRPr="005F1973">
        <w:rPr>
          <w:rFonts w:cs="Times New Roman"/>
        </w:rPr>
        <w:t xml:space="preserve">udgment need not be reversed merely because inadmissible evidence has been admitted, if permissible evidence to the same effect has been placed before the trier of fact. </w:t>
      </w:r>
      <w:r w:rsidR="002A6771" w:rsidRPr="005F1973">
        <w:rPr>
          <w:rFonts w:cs="Times New Roman"/>
          <w:i/>
        </w:rPr>
        <w:t xml:space="preserve">Marandino v. </w:t>
      </w:r>
      <w:r w:rsidR="002A6771" w:rsidRPr="005F1973">
        <w:rPr>
          <w:rFonts w:cs="Times New Roman"/>
          <w:i/>
        </w:rPr>
        <w:lastRenderedPageBreak/>
        <w:t>Prometheus Pharm.</w:t>
      </w:r>
      <w:r w:rsidR="002A6771" w:rsidRPr="005F1973">
        <w:rPr>
          <w:rFonts w:cs="Times New Roman"/>
        </w:rPr>
        <w:t xml:space="preserve">, 294 Conn. 564, 590 n.13 (2010); </w:t>
      </w:r>
      <w:r w:rsidR="002A6771" w:rsidRPr="005F1973">
        <w:rPr>
          <w:rFonts w:cs="Times New Roman"/>
          <w:i/>
          <w:iCs/>
        </w:rPr>
        <w:t>s</w:t>
      </w:r>
      <w:r w:rsidR="00542780" w:rsidRPr="005F1973">
        <w:rPr>
          <w:rFonts w:cs="Times New Roman"/>
          <w:i/>
          <w:iCs/>
        </w:rPr>
        <w:t>ee also In re Brandon</w:t>
      </w:r>
      <w:r w:rsidR="002A6771" w:rsidRPr="005F1973">
        <w:rPr>
          <w:rFonts w:cs="Times New Roman"/>
          <w:i/>
          <w:iCs/>
        </w:rPr>
        <w:t xml:space="preserve"> W.</w:t>
      </w:r>
      <w:r w:rsidR="002A6771" w:rsidRPr="005F1973">
        <w:rPr>
          <w:rFonts w:cs="Times New Roman"/>
          <w:iCs/>
        </w:rPr>
        <w:t>, 56 Conn. App. 418 (2000)</w:t>
      </w:r>
      <w:r w:rsidRPr="005F1973">
        <w:rPr>
          <w:rFonts w:cs="Times New Roman"/>
        </w:rPr>
        <w:t>. I</w:t>
      </w:r>
      <w:r w:rsidR="009160E9" w:rsidRPr="005F1973">
        <w:rPr>
          <w:rFonts w:cs="Times New Roman"/>
        </w:rPr>
        <w:t>n order to preserve an evidentiary ruling for review, trial counsel must object and properly articulate the basis for the objection. I</w:t>
      </w:r>
      <w:r w:rsidRPr="005F1973">
        <w:rPr>
          <w:rFonts w:cs="Times New Roman"/>
        </w:rPr>
        <w:t xml:space="preserve">f an objection to hearsay is not made at trial, </w:t>
      </w:r>
      <w:r w:rsidR="009160E9" w:rsidRPr="005F1973">
        <w:rPr>
          <w:rFonts w:cs="Times New Roman"/>
        </w:rPr>
        <w:t>an appellate court is not bound to review it</w:t>
      </w:r>
      <w:r w:rsidRPr="005F1973">
        <w:rPr>
          <w:rFonts w:cs="Times New Roman"/>
        </w:rPr>
        <w:t xml:space="preserve">. </w:t>
      </w:r>
      <w:r w:rsidRPr="005F1973">
        <w:rPr>
          <w:rFonts w:cs="Times New Roman"/>
          <w:i/>
          <w:iCs/>
        </w:rPr>
        <w:t xml:space="preserve">State v. </w:t>
      </w:r>
      <w:r w:rsidR="00083587" w:rsidRPr="005F1973">
        <w:rPr>
          <w:rFonts w:cs="Times New Roman"/>
          <w:i/>
          <w:iCs/>
        </w:rPr>
        <w:t>Jorge P.</w:t>
      </w:r>
      <w:r w:rsidR="00083587" w:rsidRPr="005F1973">
        <w:rPr>
          <w:rFonts w:cs="Times New Roman"/>
        </w:rPr>
        <w:t>, 308 Conn. 740, 753 (2013</w:t>
      </w:r>
      <w:r w:rsidRPr="005F1973">
        <w:rPr>
          <w:rFonts w:cs="Times New Roman"/>
        </w:rPr>
        <w:t xml:space="preserve">). </w:t>
      </w:r>
    </w:p>
    <w:p w14:paraId="34321368" w14:textId="77777777" w:rsidR="005D699F" w:rsidRPr="005F1973" w:rsidRDefault="005D699F" w:rsidP="00225D14">
      <w:pPr>
        <w:rPr>
          <w:rFonts w:cs="Times New Roman"/>
        </w:rPr>
      </w:pPr>
    </w:p>
    <w:p w14:paraId="222D931F" w14:textId="4DF2BAFE" w:rsidR="002B257C" w:rsidRPr="005F1973" w:rsidRDefault="002B257C" w:rsidP="002B257C">
      <w:pPr>
        <w:autoSpaceDE w:val="0"/>
        <w:autoSpaceDN w:val="0"/>
        <w:adjustRightInd w:val="0"/>
        <w:spacing w:after="240" w:line="340" w:lineRule="atLeast"/>
        <w:rPr>
          <w:rFonts w:cs="Times New Roman"/>
          <w:color w:val="000000"/>
        </w:rPr>
      </w:pPr>
      <w:r w:rsidRPr="005F1973">
        <w:rPr>
          <w:rFonts w:cs="Times New Roman"/>
          <w:b/>
          <w:bCs/>
          <w:color w:val="000000"/>
        </w:rPr>
        <w:t xml:space="preserve">Are there </w:t>
      </w:r>
      <w:r w:rsidR="00403343">
        <w:rPr>
          <w:rFonts w:cs="Times New Roman"/>
          <w:b/>
          <w:bCs/>
          <w:color w:val="000000"/>
        </w:rPr>
        <w:t>hearsay exceptions specific to Juvenile C</w:t>
      </w:r>
      <w:r w:rsidRPr="005F1973">
        <w:rPr>
          <w:rFonts w:cs="Times New Roman"/>
          <w:b/>
          <w:bCs/>
          <w:color w:val="000000"/>
        </w:rPr>
        <w:t xml:space="preserve">ourt proceedings? </w:t>
      </w:r>
    </w:p>
    <w:p w14:paraId="1217559B" w14:textId="09099D4E" w:rsidR="002B257C" w:rsidRPr="005F1973" w:rsidRDefault="002B257C" w:rsidP="002B257C">
      <w:pPr>
        <w:autoSpaceDE w:val="0"/>
        <w:autoSpaceDN w:val="0"/>
        <w:adjustRightInd w:val="0"/>
        <w:spacing w:after="240" w:line="300" w:lineRule="atLeast"/>
        <w:rPr>
          <w:rFonts w:cs="Times New Roman"/>
          <w:color w:val="000000"/>
        </w:rPr>
      </w:pPr>
      <w:r w:rsidRPr="005F1973">
        <w:rPr>
          <w:rFonts w:cs="Times New Roman"/>
          <w:color w:val="000000"/>
        </w:rPr>
        <w:t xml:space="preserve">Yes. Connecticut General Statute § 46b-129(g) specifically provides that during a </w:t>
      </w:r>
      <w:r w:rsidRPr="005F1973">
        <w:rPr>
          <w:rFonts w:cs="Times New Roman"/>
          <w:b/>
          <w:bCs/>
          <w:color w:val="000000"/>
        </w:rPr>
        <w:t>contested OTC hearing</w:t>
      </w:r>
      <w:r w:rsidRPr="005F1973">
        <w:rPr>
          <w:rFonts w:cs="Times New Roman"/>
          <w:color w:val="000000"/>
        </w:rPr>
        <w:t>, “credible hearsay evidence regarding statement</w:t>
      </w:r>
      <w:r w:rsidR="0030674C" w:rsidRPr="005F1973">
        <w:rPr>
          <w:rFonts w:cs="Times New Roman"/>
          <w:color w:val="000000"/>
        </w:rPr>
        <w:t xml:space="preserve">s of the </w:t>
      </w:r>
      <w:r w:rsidRPr="005F1973">
        <w:rPr>
          <w:rFonts w:cs="Times New Roman"/>
          <w:color w:val="000000"/>
        </w:rPr>
        <w:t xml:space="preserve"> child</w:t>
      </w:r>
      <w:r w:rsidR="0030674C" w:rsidRPr="005F1973">
        <w:rPr>
          <w:rFonts w:cs="Times New Roman"/>
          <w:color w:val="000000"/>
        </w:rPr>
        <w:t xml:space="preserve"> or youth made</w:t>
      </w:r>
      <w:r w:rsidRPr="005F1973">
        <w:rPr>
          <w:rFonts w:cs="Times New Roman"/>
          <w:color w:val="000000"/>
        </w:rPr>
        <w:t xml:space="preserve"> to a mandated reporter or to a parent” may be admissible “upon a finding that the statement is reliable and trustworthy and that admission of such statement is reasonably necessary.” Additionally, an affidavit provided by a mandated reporter may be admitted as well without the need for the reporter to appear unless called by the respondent or child</w:t>
      </w:r>
      <w:r w:rsidR="005F1973">
        <w:rPr>
          <w:rFonts w:cs="Times New Roman"/>
          <w:color w:val="000000"/>
        </w:rPr>
        <w:t>,</w:t>
      </w:r>
      <w:r w:rsidRPr="005F1973">
        <w:rPr>
          <w:rFonts w:cs="Times New Roman"/>
          <w:color w:val="000000"/>
        </w:rPr>
        <w:t xml:space="preserve"> provided the statement: </w:t>
      </w:r>
    </w:p>
    <w:p w14:paraId="771F0A53" w14:textId="77777777" w:rsidR="00404E52" w:rsidRPr="005F1973" w:rsidRDefault="002B257C" w:rsidP="00404E52">
      <w:pPr>
        <w:pStyle w:val="ListParagraph"/>
        <w:numPr>
          <w:ilvl w:val="0"/>
          <w:numId w:val="9"/>
        </w:numPr>
        <w:tabs>
          <w:tab w:val="left" w:pos="220"/>
          <w:tab w:val="left" w:pos="720"/>
        </w:tabs>
        <w:autoSpaceDE w:val="0"/>
        <w:autoSpaceDN w:val="0"/>
        <w:adjustRightInd w:val="0"/>
        <w:spacing w:after="266" w:line="300" w:lineRule="atLeast"/>
        <w:rPr>
          <w:rFonts w:cs="Times New Roman"/>
          <w:color w:val="000000"/>
        </w:rPr>
      </w:pPr>
      <w:r w:rsidRPr="005F1973">
        <w:rPr>
          <w:rFonts w:cs="Times New Roman"/>
          <w:color w:val="000000"/>
        </w:rPr>
        <w:t>was provided at the preliminary hearing;</w:t>
      </w:r>
    </w:p>
    <w:p w14:paraId="4001DE20" w14:textId="77777777" w:rsidR="00404E52" w:rsidRPr="005F1973" w:rsidRDefault="002B257C" w:rsidP="00404E52">
      <w:pPr>
        <w:pStyle w:val="ListParagraph"/>
        <w:numPr>
          <w:ilvl w:val="0"/>
          <w:numId w:val="9"/>
        </w:numPr>
        <w:tabs>
          <w:tab w:val="left" w:pos="220"/>
          <w:tab w:val="left" w:pos="720"/>
        </w:tabs>
        <w:autoSpaceDE w:val="0"/>
        <w:autoSpaceDN w:val="0"/>
        <w:adjustRightInd w:val="0"/>
        <w:spacing w:after="266" w:line="300" w:lineRule="atLeast"/>
        <w:rPr>
          <w:rFonts w:cs="Times New Roman"/>
          <w:color w:val="000000"/>
        </w:rPr>
      </w:pPr>
      <w:r w:rsidRPr="005F1973">
        <w:rPr>
          <w:rFonts w:cs="Times New Roman"/>
          <w:color w:val="000000"/>
        </w:rPr>
        <w:t xml:space="preserve">reasonably describes the qualifications of the reporter and the nature of his contact with the child; and </w:t>
      </w:r>
    </w:p>
    <w:p w14:paraId="0DDDEE49" w14:textId="3C34AFFD" w:rsidR="002B257C" w:rsidRPr="005F1973" w:rsidRDefault="002B257C" w:rsidP="00404E52">
      <w:pPr>
        <w:pStyle w:val="ListParagraph"/>
        <w:numPr>
          <w:ilvl w:val="0"/>
          <w:numId w:val="9"/>
        </w:numPr>
        <w:tabs>
          <w:tab w:val="left" w:pos="220"/>
          <w:tab w:val="left" w:pos="720"/>
        </w:tabs>
        <w:autoSpaceDE w:val="0"/>
        <w:autoSpaceDN w:val="0"/>
        <w:adjustRightInd w:val="0"/>
        <w:spacing w:after="266" w:line="300" w:lineRule="atLeast"/>
        <w:rPr>
          <w:rFonts w:cs="Times New Roman"/>
          <w:color w:val="000000"/>
        </w:rPr>
      </w:pPr>
      <w:r w:rsidRPr="005F1973">
        <w:rPr>
          <w:rFonts w:cs="Times New Roman"/>
          <w:color w:val="000000"/>
        </w:rPr>
        <w:t>contains only the direct observations of the reporter and statements made to the</w:t>
      </w:r>
      <w:r w:rsidR="005D699F" w:rsidRPr="005F1973">
        <w:rPr>
          <w:rFonts w:eastAsia="MS Mincho" w:cs="Times New Roman"/>
          <w:color w:val="000000"/>
        </w:rPr>
        <w:t xml:space="preserve"> </w:t>
      </w:r>
      <w:r w:rsidRPr="005F1973">
        <w:rPr>
          <w:rFonts w:cs="Times New Roman"/>
          <w:color w:val="000000"/>
        </w:rPr>
        <w:t xml:space="preserve">reporter that would be admissible if the reporter were to testify to them in court and any opinions reasonably based thereupon. </w:t>
      </w:r>
    </w:p>
    <w:p w14:paraId="160B2503" w14:textId="78B3B8A9" w:rsidR="002B257C" w:rsidRPr="005F1973" w:rsidRDefault="0030674C" w:rsidP="002B257C">
      <w:pPr>
        <w:autoSpaceDE w:val="0"/>
        <w:autoSpaceDN w:val="0"/>
        <w:adjustRightInd w:val="0"/>
        <w:spacing w:after="240" w:line="300" w:lineRule="atLeast"/>
        <w:rPr>
          <w:rFonts w:cs="Times New Roman"/>
          <w:color w:val="000000"/>
        </w:rPr>
      </w:pPr>
      <w:r w:rsidRPr="005F1973">
        <w:rPr>
          <w:rFonts w:cs="Times New Roman"/>
          <w:color w:val="000000"/>
        </w:rPr>
        <w:t>Additionally, P.B. § 35a-9</w:t>
      </w:r>
      <w:r w:rsidR="002B257C" w:rsidRPr="005F1973">
        <w:rPr>
          <w:rFonts w:cs="Times New Roman"/>
          <w:color w:val="000000"/>
        </w:rPr>
        <w:t xml:space="preserve"> provides that during the disposition hearing (not for adjudication purposes), the court “may admit into evidence any testimony relevant and material to the issue of </w:t>
      </w:r>
      <w:r w:rsidR="0061271B">
        <w:rPr>
          <w:rFonts w:cs="Times New Roman"/>
          <w:color w:val="000000"/>
        </w:rPr>
        <w:t xml:space="preserve">the </w:t>
      </w:r>
      <w:r w:rsidR="002B257C" w:rsidRPr="005F1973">
        <w:rPr>
          <w:rFonts w:cs="Times New Roman"/>
          <w:color w:val="000000"/>
        </w:rPr>
        <w:t>disposition, including events occurring through the close of the evidentiary hearing</w:t>
      </w:r>
      <w:r w:rsidRPr="005F1973">
        <w:rPr>
          <w:rFonts w:cs="Times New Roman"/>
          <w:color w:val="000000"/>
        </w:rPr>
        <w:t>….</w:t>
      </w:r>
      <w:r w:rsidR="002B257C" w:rsidRPr="005F1973">
        <w:rPr>
          <w:rFonts w:cs="Times New Roman"/>
          <w:color w:val="000000"/>
        </w:rPr>
        <w:t xml:space="preserve">” This language is often interpreted by practitioners as permitting hearsay in the dispositional phase of a contested hearing. </w:t>
      </w:r>
    </w:p>
    <w:p w14:paraId="4497AA4C" w14:textId="15EA4B9B" w:rsidR="002B257C" w:rsidRPr="003E3400" w:rsidRDefault="002B257C" w:rsidP="002B257C">
      <w:pPr>
        <w:autoSpaceDE w:val="0"/>
        <w:autoSpaceDN w:val="0"/>
        <w:adjustRightInd w:val="0"/>
        <w:spacing w:after="240" w:line="300" w:lineRule="atLeast"/>
        <w:rPr>
          <w:rFonts w:cs="Times New Roman"/>
          <w:i/>
          <w:color w:val="000000"/>
        </w:rPr>
      </w:pPr>
      <w:r w:rsidRPr="005F1973">
        <w:rPr>
          <w:rFonts w:cs="Times New Roman"/>
          <w:color w:val="000000"/>
        </w:rPr>
        <w:t>Note that the adjudicatory and dispositional phases of a trial are almost always held simultaneously (despite P.B. § 35a-7, which provides that hearings may be bifurcated</w:t>
      </w:r>
      <w:r w:rsidR="002E6A8F" w:rsidRPr="005F1973">
        <w:rPr>
          <w:rFonts w:cs="Times New Roman"/>
          <w:color w:val="000000"/>
        </w:rPr>
        <w:t xml:space="preserve"> in the court’s discretion</w:t>
      </w:r>
      <w:r w:rsidRPr="005F1973">
        <w:rPr>
          <w:rFonts w:cs="Times New Roman"/>
          <w:color w:val="000000"/>
        </w:rPr>
        <w:t xml:space="preserve">). </w:t>
      </w:r>
      <w:r w:rsidRPr="003E3400">
        <w:rPr>
          <w:rFonts w:cs="Times New Roman"/>
          <w:i/>
          <w:color w:val="000000"/>
        </w:rPr>
        <w:t xml:space="preserve">Therefore, it is incumbent upon counsel for respondent to ensure that any hearsay evidence (to the extent that such evidence is admitted by court) is considered for dispositional purposes only. </w:t>
      </w:r>
    </w:p>
    <w:p w14:paraId="096D0705" w14:textId="1702F2C5" w:rsidR="002B257C" w:rsidRPr="005F1973" w:rsidRDefault="002B257C" w:rsidP="002B257C">
      <w:pPr>
        <w:autoSpaceDE w:val="0"/>
        <w:autoSpaceDN w:val="0"/>
        <w:adjustRightInd w:val="0"/>
        <w:spacing w:after="240" w:line="300" w:lineRule="atLeast"/>
        <w:rPr>
          <w:rFonts w:cs="Times New Roman"/>
          <w:color w:val="000000"/>
        </w:rPr>
      </w:pPr>
      <w:r w:rsidRPr="005F1973">
        <w:rPr>
          <w:rFonts w:cs="Times New Roman"/>
          <w:color w:val="000000"/>
        </w:rPr>
        <w:t>Remember that all of the Code’s hearsay rules and exceptions are</w:t>
      </w:r>
      <w:r w:rsidR="003E3400">
        <w:rPr>
          <w:rFonts w:cs="Times New Roman"/>
          <w:color w:val="000000"/>
        </w:rPr>
        <w:t xml:space="preserve"> still applicable in contested Juvenile C</w:t>
      </w:r>
      <w:r w:rsidRPr="005F1973">
        <w:rPr>
          <w:rFonts w:cs="Times New Roman"/>
          <w:color w:val="000000"/>
        </w:rPr>
        <w:t xml:space="preserve">ourt hearings. These rules include (but are not limited to): </w:t>
      </w:r>
    </w:p>
    <w:p w14:paraId="5B67B591" w14:textId="46F6019D" w:rsidR="00891824" w:rsidRPr="005F1973" w:rsidRDefault="002B257C" w:rsidP="003E3400">
      <w:pPr>
        <w:pStyle w:val="ListParagraph"/>
        <w:numPr>
          <w:ilvl w:val="0"/>
          <w:numId w:val="7"/>
        </w:numPr>
        <w:tabs>
          <w:tab w:val="left" w:pos="220"/>
          <w:tab w:val="left" w:pos="720"/>
        </w:tabs>
        <w:autoSpaceDE w:val="0"/>
        <w:autoSpaceDN w:val="0"/>
        <w:adjustRightInd w:val="0"/>
        <w:ind w:left="1454"/>
        <w:rPr>
          <w:rFonts w:cs="Times New Roman"/>
          <w:color w:val="000000"/>
        </w:rPr>
      </w:pPr>
      <w:r w:rsidRPr="005F1973">
        <w:rPr>
          <w:rFonts w:cs="Times New Roman"/>
          <w:color w:val="000000"/>
        </w:rPr>
        <w:t>B</w:t>
      </w:r>
      <w:r w:rsidR="003E3400">
        <w:rPr>
          <w:rFonts w:cs="Times New Roman"/>
          <w:color w:val="000000"/>
        </w:rPr>
        <w:t>usiness R</w:t>
      </w:r>
      <w:r w:rsidRPr="005F1973">
        <w:rPr>
          <w:rFonts w:cs="Times New Roman"/>
          <w:color w:val="000000"/>
        </w:rPr>
        <w:t xml:space="preserve">ecord </w:t>
      </w:r>
      <w:r w:rsidR="003E3400">
        <w:rPr>
          <w:rFonts w:cs="Times New Roman"/>
          <w:color w:val="000000"/>
        </w:rPr>
        <w:t>exception</w:t>
      </w:r>
      <w:r w:rsidR="00CF0893" w:rsidRPr="005F1973">
        <w:rPr>
          <w:rFonts w:cs="Times New Roman"/>
          <w:color w:val="000000"/>
        </w:rPr>
        <w:t xml:space="preserve">. </w:t>
      </w:r>
      <w:r w:rsidR="001B5B31">
        <w:rPr>
          <w:rFonts w:cs="Times New Roman"/>
          <w:color w:val="000000"/>
        </w:rPr>
        <w:t xml:space="preserve"> </w:t>
      </w:r>
      <w:r w:rsidR="00CF0893" w:rsidRPr="005F1973">
        <w:rPr>
          <w:rFonts w:cs="Times New Roman"/>
          <w:i/>
          <w:color w:val="000000"/>
        </w:rPr>
        <w:t>See</w:t>
      </w:r>
      <w:r w:rsidRPr="005F1973">
        <w:rPr>
          <w:rFonts w:cs="Times New Roman"/>
          <w:color w:val="000000"/>
        </w:rPr>
        <w:t xml:space="preserve"> C.G.S. </w:t>
      </w:r>
      <w:r w:rsidR="009F5689" w:rsidRPr="005F1973">
        <w:rPr>
          <w:rFonts w:cs="Times New Roman"/>
          <w:color w:val="000000"/>
        </w:rPr>
        <w:t xml:space="preserve">§ </w:t>
      </w:r>
      <w:r w:rsidRPr="005F1973">
        <w:rPr>
          <w:rFonts w:cs="Times New Roman"/>
          <w:color w:val="000000"/>
        </w:rPr>
        <w:t>52-180</w:t>
      </w:r>
      <w:r w:rsidR="00CF0893" w:rsidRPr="005F1973">
        <w:rPr>
          <w:rFonts w:cs="Times New Roman"/>
          <w:color w:val="000000"/>
        </w:rPr>
        <w:t>.</w:t>
      </w:r>
      <w:r w:rsidRPr="005F1973">
        <w:rPr>
          <w:rFonts w:cs="Times New Roman"/>
          <w:color w:val="000000"/>
        </w:rPr>
        <w:t xml:space="preserve"> </w:t>
      </w:r>
    </w:p>
    <w:p w14:paraId="1790093F" w14:textId="4618BCDB" w:rsidR="00891824" w:rsidRPr="005F1973" w:rsidRDefault="002B257C" w:rsidP="003E3400">
      <w:pPr>
        <w:pStyle w:val="ListParagraph"/>
        <w:numPr>
          <w:ilvl w:val="0"/>
          <w:numId w:val="7"/>
        </w:numPr>
        <w:tabs>
          <w:tab w:val="left" w:pos="220"/>
          <w:tab w:val="left" w:pos="720"/>
        </w:tabs>
        <w:autoSpaceDE w:val="0"/>
        <w:autoSpaceDN w:val="0"/>
        <w:adjustRightInd w:val="0"/>
        <w:ind w:left="1454"/>
        <w:rPr>
          <w:rFonts w:cs="Times New Roman"/>
          <w:color w:val="000000"/>
        </w:rPr>
      </w:pPr>
      <w:r w:rsidRPr="005F1973">
        <w:rPr>
          <w:rFonts w:cs="Times New Roman"/>
          <w:color w:val="000000"/>
        </w:rPr>
        <w:t xml:space="preserve">Admissions of parties (note that statements of a child are not admissible as party statements, </w:t>
      </w:r>
      <w:r w:rsidRPr="005F1973">
        <w:rPr>
          <w:rFonts w:cs="Times New Roman"/>
          <w:i/>
          <w:iCs/>
          <w:color w:val="000000"/>
        </w:rPr>
        <w:t>In re Jason S</w:t>
      </w:r>
      <w:r w:rsidRPr="005F1973">
        <w:rPr>
          <w:rFonts w:cs="Times New Roman"/>
          <w:color w:val="000000"/>
        </w:rPr>
        <w:t>., 9 Conn. App. 98 (1986)</w:t>
      </w:r>
      <w:r w:rsidR="00CF14C6" w:rsidRPr="005F1973">
        <w:rPr>
          <w:rFonts w:cs="Times New Roman"/>
          <w:color w:val="000000"/>
        </w:rPr>
        <w:t xml:space="preserve">; </w:t>
      </w:r>
      <w:r w:rsidR="00CF14C6" w:rsidRPr="005F1973">
        <w:rPr>
          <w:rFonts w:cs="Times New Roman"/>
          <w:i/>
          <w:color w:val="000000"/>
        </w:rPr>
        <w:t>accord In re Joshua E.</w:t>
      </w:r>
      <w:r w:rsidR="00CF14C6" w:rsidRPr="005F1973">
        <w:rPr>
          <w:rFonts w:cs="Times New Roman"/>
          <w:color w:val="000000"/>
        </w:rPr>
        <w:t xml:space="preserve">, 2001 WL 1132651 at </w:t>
      </w:r>
      <w:r w:rsidR="00F75AD2" w:rsidRPr="005F1973">
        <w:rPr>
          <w:rFonts w:cs="Times New Roman"/>
          <w:color w:val="000000"/>
        </w:rPr>
        <w:t>*</w:t>
      </w:r>
      <w:r w:rsidR="00CF14C6" w:rsidRPr="005F1973">
        <w:rPr>
          <w:rFonts w:cs="Times New Roman"/>
          <w:color w:val="000000"/>
        </w:rPr>
        <w:t>6, fn.2 (2001</w:t>
      </w:r>
      <w:r w:rsidRPr="005F1973">
        <w:rPr>
          <w:rFonts w:cs="Times New Roman"/>
          <w:color w:val="000000"/>
        </w:rPr>
        <w:t>)</w:t>
      </w:r>
      <w:r w:rsidR="001B5B31">
        <w:rPr>
          <w:rFonts w:cs="Times New Roman"/>
          <w:color w:val="000000"/>
        </w:rPr>
        <w:t>.</w:t>
      </w:r>
      <w:r w:rsidRPr="005F1973">
        <w:rPr>
          <w:rFonts w:cs="Times New Roman"/>
          <w:color w:val="000000"/>
        </w:rPr>
        <w:t xml:space="preserve"> </w:t>
      </w:r>
    </w:p>
    <w:p w14:paraId="0A4EAA33" w14:textId="42048FEA" w:rsidR="00891824" w:rsidRPr="005F1973" w:rsidRDefault="003E3400" w:rsidP="003E3400">
      <w:pPr>
        <w:pStyle w:val="ListParagraph"/>
        <w:numPr>
          <w:ilvl w:val="0"/>
          <w:numId w:val="7"/>
        </w:numPr>
        <w:tabs>
          <w:tab w:val="left" w:pos="220"/>
          <w:tab w:val="left" w:pos="720"/>
        </w:tabs>
        <w:autoSpaceDE w:val="0"/>
        <w:autoSpaceDN w:val="0"/>
        <w:adjustRightInd w:val="0"/>
        <w:ind w:left="1454"/>
        <w:rPr>
          <w:rFonts w:cs="Times New Roman"/>
          <w:color w:val="000000"/>
        </w:rPr>
      </w:pPr>
      <w:r>
        <w:rPr>
          <w:rFonts w:cs="Times New Roman"/>
          <w:color w:val="000000"/>
        </w:rPr>
        <w:t>Certified public records</w:t>
      </w:r>
    </w:p>
    <w:p w14:paraId="5BAE16B1" w14:textId="6EE8A12D" w:rsidR="00891824" w:rsidRPr="005F1973" w:rsidRDefault="003E3400" w:rsidP="003E3400">
      <w:pPr>
        <w:pStyle w:val="ListParagraph"/>
        <w:numPr>
          <w:ilvl w:val="0"/>
          <w:numId w:val="7"/>
        </w:numPr>
        <w:tabs>
          <w:tab w:val="left" w:pos="220"/>
          <w:tab w:val="left" w:pos="720"/>
        </w:tabs>
        <w:autoSpaceDE w:val="0"/>
        <w:autoSpaceDN w:val="0"/>
        <w:adjustRightInd w:val="0"/>
        <w:ind w:left="1454"/>
        <w:rPr>
          <w:rFonts w:cs="Times New Roman"/>
          <w:color w:val="000000"/>
        </w:rPr>
      </w:pPr>
      <w:r>
        <w:rPr>
          <w:rFonts w:cs="Times New Roman"/>
          <w:color w:val="000000"/>
        </w:rPr>
        <w:t>U</w:t>
      </w:r>
      <w:r w:rsidR="002B257C" w:rsidRPr="005F1973">
        <w:rPr>
          <w:rFonts w:cs="Times New Roman"/>
          <w:color w:val="000000"/>
        </w:rPr>
        <w:t xml:space="preserve">nduly prejudicial information </w:t>
      </w:r>
    </w:p>
    <w:p w14:paraId="6874427E" w14:textId="04B2A3B9" w:rsidR="005004F0" w:rsidRPr="005F1973" w:rsidRDefault="002B257C" w:rsidP="003E3400">
      <w:pPr>
        <w:pStyle w:val="ListParagraph"/>
        <w:numPr>
          <w:ilvl w:val="0"/>
          <w:numId w:val="7"/>
        </w:numPr>
        <w:tabs>
          <w:tab w:val="left" w:pos="220"/>
          <w:tab w:val="left" w:pos="720"/>
        </w:tabs>
        <w:autoSpaceDE w:val="0"/>
        <w:autoSpaceDN w:val="0"/>
        <w:adjustRightInd w:val="0"/>
        <w:ind w:left="1454"/>
        <w:rPr>
          <w:rFonts w:cs="Times New Roman"/>
          <w:color w:val="000000"/>
        </w:rPr>
      </w:pPr>
      <w:r w:rsidRPr="005F1973">
        <w:rPr>
          <w:rFonts w:cs="Times New Roman"/>
          <w:color w:val="000000"/>
        </w:rPr>
        <w:t>Residual hearsay exception</w:t>
      </w:r>
      <w:r w:rsidR="00CF0893" w:rsidRPr="005F1973">
        <w:rPr>
          <w:rFonts w:cs="Times New Roman"/>
          <w:iCs/>
          <w:color w:val="000000"/>
        </w:rPr>
        <w:t>.</w:t>
      </w:r>
      <w:r w:rsidRPr="005F1973">
        <w:rPr>
          <w:rFonts w:cs="Times New Roman"/>
          <w:i/>
          <w:iCs/>
          <w:color w:val="000000"/>
        </w:rPr>
        <w:t xml:space="preserve"> </w:t>
      </w:r>
      <w:r w:rsidR="00CF0893" w:rsidRPr="005F1973">
        <w:rPr>
          <w:rFonts w:cs="Times New Roman"/>
          <w:i/>
          <w:iCs/>
          <w:color w:val="000000"/>
        </w:rPr>
        <w:t>See In re Tayler F.</w:t>
      </w:r>
      <w:r w:rsidR="00CF0893" w:rsidRPr="005F1973">
        <w:rPr>
          <w:rFonts w:cs="Times New Roman"/>
          <w:iCs/>
          <w:color w:val="000000"/>
        </w:rPr>
        <w:t xml:space="preserve">, 296 Conn. 524 (2010); </w:t>
      </w:r>
      <w:r w:rsidRPr="005F1973">
        <w:rPr>
          <w:rFonts w:cs="Times New Roman"/>
          <w:i/>
          <w:iCs/>
          <w:color w:val="000000"/>
        </w:rPr>
        <w:t xml:space="preserve">State v. </w:t>
      </w:r>
      <w:r w:rsidR="00BD2DEE" w:rsidRPr="005F1973">
        <w:rPr>
          <w:rFonts w:cs="Times New Roman"/>
          <w:i/>
          <w:iCs/>
          <w:color w:val="000000"/>
        </w:rPr>
        <w:t>Bennett</w:t>
      </w:r>
      <w:r w:rsidR="00BD2DEE" w:rsidRPr="005F1973">
        <w:rPr>
          <w:rFonts w:cs="Times New Roman"/>
          <w:color w:val="000000"/>
        </w:rPr>
        <w:t>, 324 Conn. 744 (2017</w:t>
      </w:r>
      <w:r w:rsidRPr="005F1973">
        <w:rPr>
          <w:rFonts w:cs="Times New Roman"/>
          <w:color w:val="000000"/>
        </w:rPr>
        <w:t>)</w:t>
      </w:r>
      <w:r w:rsidR="001B5B31">
        <w:rPr>
          <w:rFonts w:cs="Times New Roman"/>
          <w:color w:val="000000"/>
        </w:rPr>
        <w:t>.</w:t>
      </w:r>
    </w:p>
    <w:p w14:paraId="603C6528" w14:textId="77777777" w:rsidR="003E3400" w:rsidRPr="003E3400" w:rsidRDefault="003E3400" w:rsidP="002B257C">
      <w:pPr>
        <w:numPr>
          <w:ilvl w:val="0"/>
          <w:numId w:val="2"/>
        </w:numPr>
        <w:tabs>
          <w:tab w:val="left" w:pos="220"/>
          <w:tab w:val="left" w:pos="720"/>
        </w:tabs>
        <w:autoSpaceDE w:val="0"/>
        <w:autoSpaceDN w:val="0"/>
        <w:adjustRightInd w:val="0"/>
        <w:spacing w:after="240" w:line="300" w:lineRule="atLeast"/>
        <w:ind w:hanging="720"/>
        <w:rPr>
          <w:rFonts w:cs="Times New Roman"/>
          <w:color w:val="000000"/>
        </w:rPr>
      </w:pPr>
    </w:p>
    <w:p w14:paraId="2418B54D" w14:textId="102E6DF1" w:rsidR="008F7AAF" w:rsidRPr="005F1973" w:rsidRDefault="00445A35" w:rsidP="002B257C">
      <w:pPr>
        <w:numPr>
          <w:ilvl w:val="0"/>
          <w:numId w:val="2"/>
        </w:numPr>
        <w:tabs>
          <w:tab w:val="left" w:pos="220"/>
          <w:tab w:val="left" w:pos="720"/>
        </w:tabs>
        <w:autoSpaceDE w:val="0"/>
        <w:autoSpaceDN w:val="0"/>
        <w:adjustRightInd w:val="0"/>
        <w:spacing w:after="240" w:line="300" w:lineRule="atLeast"/>
        <w:ind w:hanging="720"/>
        <w:rPr>
          <w:rFonts w:cs="Times New Roman"/>
          <w:color w:val="000000"/>
        </w:rPr>
      </w:pPr>
      <w:r w:rsidRPr="005F1973">
        <w:rPr>
          <w:rFonts w:cs="Times New Roman"/>
          <w:b/>
          <w:bCs/>
          <w:color w:val="000000"/>
        </w:rPr>
        <w:lastRenderedPageBreak/>
        <w:t xml:space="preserve">BUSINESS RECORD EXCEPTION </w:t>
      </w:r>
    </w:p>
    <w:p w14:paraId="065F4C06" w14:textId="34F761B3" w:rsidR="002B257C" w:rsidRPr="005F1973" w:rsidRDefault="002B257C" w:rsidP="005F1973">
      <w:pPr>
        <w:numPr>
          <w:ilvl w:val="0"/>
          <w:numId w:val="2"/>
        </w:numPr>
        <w:tabs>
          <w:tab w:val="left" w:pos="220"/>
          <w:tab w:val="left" w:pos="720"/>
        </w:tabs>
        <w:autoSpaceDE w:val="0"/>
        <w:autoSpaceDN w:val="0"/>
        <w:adjustRightInd w:val="0"/>
        <w:ind w:hanging="720"/>
        <w:rPr>
          <w:rFonts w:cs="Times New Roman"/>
          <w:color w:val="000000"/>
        </w:rPr>
      </w:pPr>
      <w:r w:rsidRPr="005F1973">
        <w:rPr>
          <w:rFonts w:cs="Times New Roman"/>
          <w:b/>
          <w:bCs/>
          <w:color w:val="000000"/>
        </w:rPr>
        <w:t>What records may be admissible as business records as an exception to the rule against</w:t>
      </w:r>
      <w:r w:rsidR="005F1973">
        <w:rPr>
          <w:rFonts w:cs="Times New Roman"/>
          <w:color w:val="000000"/>
        </w:rPr>
        <w:t xml:space="preserve"> </w:t>
      </w:r>
      <w:r w:rsidR="00445A35" w:rsidRPr="005F1973">
        <w:rPr>
          <w:rFonts w:cs="Times New Roman"/>
          <w:b/>
          <w:bCs/>
          <w:color w:val="000000"/>
        </w:rPr>
        <w:t>h</w:t>
      </w:r>
      <w:r w:rsidRPr="005F1973">
        <w:rPr>
          <w:rFonts w:cs="Times New Roman"/>
          <w:b/>
          <w:bCs/>
          <w:color w:val="000000"/>
        </w:rPr>
        <w:t xml:space="preserve">earsay? </w:t>
      </w:r>
    </w:p>
    <w:p w14:paraId="116BF09D" w14:textId="77777777" w:rsidR="005F1973" w:rsidRPr="005F1973" w:rsidRDefault="005F1973" w:rsidP="005F1973">
      <w:pPr>
        <w:numPr>
          <w:ilvl w:val="0"/>
          <w:numId w:val="2"/>
        </w:numPr>
        <w:tabs>
          <w:tab w:val="left" w:pos="220"/>
          <w:tab w:val="left" w:pos="720"/>
        </w:tabs>
        <w:autoSpaceDE w:val="0"/>
        <w:autoSpaceDN w:val="0"/>
        <w:adjustRightInd w:val="0"/>
        <w:ind w:hanging="720"/>
        <w:rPr>
          <w:rFonts w:cs="Times New Roman"/>
          <w:color w:val="000000"/>
        </w:rPr>
      </w:pPr>
    </w:p>
    <w:p w14:paraId="0896FE06" w14:textId="104DB323" w:rsidR="002503A9" w:rsidRPr="005F1973" w:rsidRDefault="002B257C" w:rsidP="002503A9">
      <w:pPr>
        <w:pStyle w:val="ListParagraph"/>
        <w:numPr>
          <w:ilvl w:val="0"/>
          <w:numId w:val="8"/>
        </w:numPr>
        <w:tabs>
          <w:tab w:val="left" w:pos="220"/>
          <w:tab w:val="left" w:pos="720"/>
        </w:tabs>
        <w:autoSpaceDE w:val="0"/>
        <w:autoSpaceDN w:val="0"/>
        <w:adjustRightInd w:val="0"/>
        <w:spacing w:after="240" w:line="300" w:lineRule="atLeast"/>
        <w:rPr>
          <w:rFonts w:cs="Times New Roman"/>
          <w:color w:val="000000"/>
        </w:rPr>
      </w:pPr>
      <w:r w:rsidRPr="005F1973">
        <w:rPr>
          <w:rFonts w:cs="Times New Roman"/>
          <w:color w:val="000000"/>
        </w:rPr>
        <w:t xml:space="preserve">Letter from foster parent to DCF may be admissible as business record. </w:t>
      </w:r>
      <w:r w:rsidRPr="005F1973">
        <w:rPr>
          <w:rFonts w:cs="Times New Roman"/>
          <w:i/>
          <w:iCs/>
          <w:color w:val="000000"/>
        </w:rPr>
        <w:t>In re Barbara J</w:t>
      </w:r>
      <w:r w:rsidR="001B5B31">
        <w:rPr>
          <w:rFonts w:cs="Times New Roman"/>
          <w:color w:val="000000"/>
        </w:rPr>
        <w:t>., 215 Conn. 31 (1990).</w:t>
      </w:r>
    </w:p>
    <w:p w14:paraId="2F117A4F" w14:textId="6CA426FD" w:rsidR="002503A9" w:rsidRPr="005F1973" w:rsidRDefault="002B257C" w:rsidP="002503A9">
      <w:pPr>
        <w:pStyle w:val="ListParagraph"/>
        <w:numPr>
          <w:ilvl w:val="0"/>
          <w:numId w:val="8"/>
        </w:numPr>
        <w:tabs>
          <w:tab w:val="left" w:pos="220"/>
          <w:tab w:val="left" w:pos="720"/>
        </w:tabs>
        <w:autoSpaceDE w:val="0"/>
        <w:autoSpaceDN w:val="0"/>
        <w:adjustRightInd w:val="0"/>
        <w:spacing w:after="240" w:line="300" w:lineRule="atLeast"/>
        <w:rPr>
          <w:rFonts w:cs="Times New Roman"/>
          <w:color w:val="000000"/>
        </w:rPr>
      </w:pPr>
      <w:r w:rsidRPr="005F1973">
        <w:rPr>
          <w:rFonts w:cs="Times New Roman"/>
          <w:color w:val="000000"/>
        </w:rPr>
        <w:t>DCF running narrative, investigation protocol, treatment plans</w:t>
      </w:r>
      <w:r w:rsidR="004152C3" w:rsidRPr="005F1973">
        <w:rPr>
          <w:rFonts w:cs="Times New Roman"/>
          <w:color w:val="000000"/>
        </w:rPr>
        <w:t xml:space="preserve">. </w:t>
      </w:r>
      <w:r w:rsidR="004152C3" w:rsidRPr="005F1973">
        <w:rPr>
          <w:rFonts w:cs="Times New Roman"/>
          <w:i/>
          <w:color w:val="000000"/>
        </w:rPr>
        <w:t>State v. William C.</w:t>
      </w:r>
      <w:r w:rsidR="001B5B31">
        <w:rPr>
          <w:rFonts w:cs="Times New Roman"/>
          <w:color w:val="000000"/>
        </w:rPr>
        <w:t>, 267 Conn. 686 (2004).</w:t>
      </w:r>
    </w:p>
    <w:p w14:paraId="7DA2A9B5" w14:textId="0C72F2C4" w:rsidR="002503A9" w:rsidRPr="005F1973" w:rsidRDefault="002B257C" w:rsidP="002503A9">
      <w:pPr>
        <w:pStyle w:val="ListParagraph"/>
        <w:numPr>
          <w:ilvl w:val="0"/>
          <w:numId w:val="8"/>
        </w:numPr>
        <w:tabs>
          <w:tab w:val="left" w:pos="220"/>
          <w:tab w:val="left" w:pos="720"/>
        </w:tabs>
        <w:autoSpaceDE w:val="0"/>
        <w:autoSpaceDN w:val="0"/>
        <w:adjustRightInd w:val="0"/>
        <w:spacing w:after="240" w:line="300" w:lineRule="atLeast"/>
        <w:rPr>
          <w:rFonts w:cs="Times New Roman"/>
          <w:color w:val="000000"/>
        </w:rPr>
      </w:pPr>
      <w:r w:rsidRPr="005F1973">
        <w:rPr>
          <w:rFonts w:cs="Times New Roman"/>
          <w:color w:val="000000"/>
        </w:rPr>
        <w:t xml:space="preserve">Documents submitted to DCF by other contracted agencies or service providers and retained in the ordinary course of business may be admissible as a business record. </w:t>
      </w:r>
    </w:p>
    <w:p w14:paraId="6F17842D" w14:textId="6C53E302" w:rsidR="00397140" w:rsidRPr="005F1973" w:rsidRDefault="002B257C" w:rsidP="002503A9">
      <w:pPr>
        <w:tabs>
          <w:tab w:val="left" w:pos="220"/>
          <w:tab w:val="left" w:pos="720"/>
        </w:tabs>
        <w:autoSpaceDE w:val="0"/>
        <w:autoSpaceDN w:val="0"/>
        <w:adjustRightInd w:val="0"/>
        <w:spacing w:after="240" w:line="300" w:lineRule="atLeast"/>
        <w:rPr>
          <w:rFonts w:eastAsia="MS Mincho" w:cs="Times New Roman"/>
          <w:color w:val="000000"/>
        </w:rPr>
      </w:pPr>
      <w:r w:rsidRPr="005F1973">
        <w:rPr>
          <w:rFonts w:cs="Times New Roman"/>
          <w:b/>
          <w:bCs/>
          <w:color w:val="000000"/>
        </w:rPr>
        <w:t xml:space="preserve">What foundation must be laid for a document to be admitted as a “business record”? </w:t>
      </w:r>
    </w:p>
    <w:p w14:paraId="7799CBBD" w14:textId="6A16AD56" w:rsidR="005D699F" w:rsidRPr="005F1973" w:rsidRDefault="002B257C" w:rsidP="002503A9">
      <w:pPr>
        <w:tabs>
          <w:tab w:val="left" w:pos="220"/>
          <w:tab w:val="left" w:pos="720"/>
        </w:tabs>
        <w:autoSpaceDE w:val="0"/>
        <w:autoSpaceDN w:val="0"/>
        <w:adjustRightInd w:val="0"/>
        <w:spacing w:after="240" w:line="300" w:lineRule="atLeast"/>
        <w:rPr>
          <w:rFonts w:eastAsia="MS Mincho" w:cs="Times New Roman"/>
          <w:color w:val="000000"/>
        </w:rPr>
      </w:pPr>
      <w:r w:rsidRPr="005F1973">
        <w:rPr>
          <w:rFonts w:cs="Times New Roman"/>
          <w:color w:val="000000"/>
        </w:rPr>
        <w:t xml:space="preserve">The document must have been made in the regular course of business and </w:t>
      </w:r>
      <w:r w:rsidR="00D50B6D" w:rsidRPr="005F1973">
        <w:rPr>
          <w:rFonts w:cs="Times New Roman"/>
          <w:color w:val="000000"/>
        </w:rPr>
        <w:t xml:space="preserve">it must have been the regular course of business to make </w:t>
      </w:r>
      <w:r w:rsidRPr="005F1973">
        <w:rPr>
          <w:rFonts w:cs="Times New Roman"/>
          <w:color w:val="000000"/>
        </w:rPr>
        <w:t xml:space="preserve">the document at the time </w:t>
      </w:r>
      <w:r w:rsidR="00D50B6D" w:rsidRPr="005F1973">
        <w:rPr>
          <w:rFonts w:cs="Times New Roman"/>
          <w:color w:val="000000"/>
        </w:rPr>
        <w:t>of</w:t>
      </w:r>
      <w:r w:rsidRPr="005F1973">
        <w:rPr>
          <w:rFonts w:cs="Times New Roman"/>
          <w:color w:val="000000"/>
        </w:rPr>
        <w:t xml:space="preserve"> the act, transaction</w:t>
      </w:r>
      <w:r w:rsidR="00D50B6D" w:rsidRPr="005F1973">
        <w:rPr>
          <w:rFonts w:cs="Times New Roman"/>
          <w:color w:val="000000"/>
        </w:rPr>
        <w:t>, occurrence</w:t>
      </w:r>
      <w:r w:rsidRPr="005F1973">
        <w:rPr>
          <w:rFonts w:cs="Times New Roman"/>
          <w:color w:val="000000"/>
        </w:rPr>
        <w:t xml:space="preserve"> or event, or within a reasonable time thereafter. </w:t>
      </w:r>
      <w:r w:rsidRPr="005F1973">
        <w:rPr>
          <w:rFonts w:cs="Times New Roman"/>
          <w:i/>
          <w:color w:val="000000"/>
        </w:rPr>
        <w:t>Conn. Gen. Stat. § 52-180.</w:t>
      </w:r>
      <w:r w:rsidRPr="005F1973">
        <w:rPr>
          <w:rFonts w:cs="Times New Roman"/>
          <w:color w:val="000000"/>
        </w:rPr>
        <w:t xml:space="preserve"> </w:t>
      </w:r>
      <w:r w:rsidR="00AC46AE">
        <w:rPr>
          <w:rFonts w:cs="Times New Roman"/>
          <w:color w:val="000000"/>
        </w:rPr>
        <w:t xml:space="preserve"> It cannot be prepared in preparation for litigation.</w:t>
      </w:r>
    </w:p>
    <w:p w14:paraId="095C57A1" w14:textId="24CD5859" w:rsidR="002B257C" w:rsidRPr="005F1973" w:rsidRDefault="002B257C" w:rsidP="00397140">
      <w:pPr>
        <w:tabs>
          <w:tab w:val="left" w:pos="220"/>
          <w:tab w:val="left" w:pos="720"/>
        </w:tabs>
        <w:autoSpaceDE w:val="0"/>
        <w:autoSpaceDN w:val="0"/>
        <w:adjustRightInd w:val="0"/>
        <w:spacing w:after="240" w:line="300" w:lineRule="atLeast"/>
        <w:rPr>
          <w:rFonts w:cs="Times New Roman"/>
          <w:color w:val="000000"/>
        </w:rPr>
      </w:pPr>
      <w:r w:rsidRPr="005F1973">
        <w:rPr>
          <w:rFonts w:cs="Times New Roman"/>
          <w:color w:val="000000"/>
        </w:rPr>
        <w:t>It is not necessary that the witness herself have made the business record. It is sufficient for the witness to testify that it was the regular business practice to create the document within a reasonable time after the transaction’s occurrence.</w:t>
      </w:r>
      <w:r w:rsidR="006D7690" w:rsidRPr="005F1973">
        <w:rPr>
          <w:rFonts w:cs="Times New Roman"/>
          <w:i/>
          <w:iCs/>
          <w:color w:val="000000"/>
        </w:rPr>
        <w:t xml:space="preserve"> Calcano v. Calcano</w:t>
      </w:r>
      <w:r w:rsidRPr="005F1973">
        <w:rPr>
          <w:rFonts w:cs="Times New Roman"/>
          <w:i/>
          <w:iCs/>
          <w:color w:val="000000"/>
        </w:rPr>
        <w:t>,</w:t>
      </w:r>
      <w:r w:rsidR="006D7690" w:rsidRPr="005F1973">
        <w:rPr>
          <w:rFonts w:cs="Times New Roman"/>
          <w:iCs/>
          <w:color w:val="000000"/>
        </w:rPr>
        <w:t xml:space="preserve"> 257</w:t>
      </w:r>
      <w:r w:rsidR="006D7690" w:rsidRPr="005F1973">
        <w:rPr>
          <w:rFonts w:cs="Times New Roman"/>
          <w:color w:val="000000"/>
        </w:rPr>
        <w:t xml:space="preserve"> Conn. 230, 241 (2001</w:t>
      </w:r>
      <w:r w:rsidRPr="005F1973">
        <w:rPr>
          <w:rFonts w:cs="Times New Roman"/>
          <w:color w:val="000000"/>
        </w:rPr>
        <w:t xml:space="preserve">). </w:t>
      </w:r>
    </w:p>
    <w:p w14:paraId="369A6D04" w14:textId="77777777" w:rsidR="002B257C" w:rsidRPr="005F1973" w:rsidRDefault="002B257C" w:rsidP="002B257C">
      <w:pPr>
        <w:autoSpaceDE w:val="0"/>
        <w:autoSpaceDN w:val="0"/>
        <w:adjustRightInd w:val="0"/>
        <w:spacing w:after="240" w:line="340" w:lineRule="atLeast"/>
        <w:rPr>
          <w:rFonts w:cs="Times New Roman"/>
          <w:color w:val="000000"/>
        </w:rPr>
      </w:pPr>
      <w:r w:rsidRPr="005F1973">
        <w:rPr>
          <w:rFonts w:cs="Times New Roman"/>
          <w:b/>
          <w:bCs/>
          <w:color w:val="000000"/>
        </w:rPr>
        <w:t xml:space="preserve">Can a document that is otherwise admissible as a “business record” still be objectionable? </w:t>
      </w:r>
    </w:p>
    <w:p w14:paraId="5D550EC3" w14:textId="77777777" w:rsidR="002B257C" w:rsidRPr="005F1973" w:rsidRDefault="002B257C" w:rsidP="002B257C">
      <w:pPr>
        <w:autoSpaceDE w:val="0"/>
        <w:autoSpaceDN w:val="0"/>
        <w:adjustRightInd w:val="0"/>
        <w:spacing w:after="240" w:line="300" w:lineRule="atLeast"/>
        <w:rPr>
          <w:rFonts w:cs="Times New Roman"/>
          <w:color w:val="000000"/>
        </w:rPr>
      </w:pPr>
      <w:r w:rsidRPr="005F1973">
        <w:rPr>
          <w:rFonts w:cs="Times New Roman"/>
          <w:color w:val="000000"/>
        </w:rPr>
        <w:t xml:space="preserve">Yes. The document may be: </w:t>
      </w:r>
    </w:p>
    <w:p w14:paraId="1BB3A39F" w14:textId="2B5BFBD9" w:rsidR="005D699F" w:rsidRPr="005F1973" w:rsidRDefault="002B257C" w:rsidP="003E3400">
      <w:pPr>
        <w:numPr>
          <w:ilvl w:val="0"/>
          <w:numId w:val="4"/>
        </w:numPr>
        <w:tabs>
          <w:tab w:val="left" w:pos="220"/>
          <w:tab w:val="left" w:pos="720"/>
        </w:tabs>
        <w:autoSpaceDE w:val="0"/>
        <w:autoSpaceDN w:val="0"/>
        <w:adjustRightInd w:val="0"/>
        <w:ind w:hanging="720"/>
        <w:rPr>
          <w:rFonts w:cs="Times New Roman"/>
          <w:color w:val="000000"/>
        </w:rPr>
      </w:pPr>
      <w:r w:rsidRPr="005F1973">
        <w:rPr>
          <w:rFonts w:cs="Times New Roman"/>
          <w:color w:val="000000"/>
        </w:rPr>
        <w:t xml:space="preserve">Irrelevant. </w:t>
      </w:r>
      <w:r w:rsidR="00427EC3" w:rsidRPr="005F1973">
        <w:rPr>
          <w:rFonts w:cs="Times New Roman"/>
          <w:i/>
          <w:color w:val="000000"/>
        </w:rPr>
        <w:t>See</w:t>
      </w:r>
      <w:r w:rsidR="00427EC3" w:rsidRPr="005F1973">
        <w:rPr>
          <w:rFonts w:cs="Times New Roman"/>
          <w:color w:val="000000"/>
        </w:rPr>
        <w:t xml:space="preserve"> </w:t>
      </w:r>
      <w:r w:rsidRPr="005F1973">
        <w:rPr>
          <w:rFonts w:cs="Times New Roman"/>
          <w:color w:val="000000"/>
        </w:rPr>
        <w:t>Conn. Evid. Code §</w:t>
      </w:r>
      <w:r w:rsidR="00427EC3" w:rsidRPr="005F1973">
        <w:rPr>
          <w:rFonts w:cs="Times New Roman"/>
          <w:color w:val="000000"/>
        </w:rPr>
        <w:t>§</w:t>
      </w:r>
      <w:r w:rsidRPr="005F1973">
        <w:rPr>
          <w:rFonts w:cs="Times New Roman"/>
          <w:color w:val="000000"/>
        </w:rPr>
        <w:t xml:space="preserve"> 4-1</w:t>
      </w:r>
      <w:r w:rsidR="00427EC3" w:rsidRPr="005F1973">
        <w:rPr>
          <w:rFonts w:cs="Times New Roman"/>
          <w:color w:val="000000"/>
        </w:rPr>
        <w:t>, 4-2</w:t>
      </w:r>
      <w:r w:rsidR="001B5B31">
        <w:rPr>
          <w:rFonts w:cs="Times New Roman"/>
          <w:color w:val="000000"/>
        </w:rPr>
        <w:t>.</w:t>
      </w:r>
    </w:p>
    <w:p w14:paraId="41B73927" w14:textId="1424EF77" w:rsidR="002B257C" w:rsidRPr="005F1973" w:rsidRDefault="002B257C" w:rsidP="003E3400">
      <w:pPr>
        <w:numPr>
          <w:ilvl w:val="0"/>
          <w:numId w:val="4"/>
        </w:numPr>
        <w:tabs>
          <w:tab w:val="left" w:pos="220"/>
          <w:tab w:val="left" w:pos="720"/>
        </w:tabs>
        <w:autoSpaceDE w:val="0"/>
        <w:autoSpaceDN w:val="0"/>
        <w:adjustRightInd w:val="0"/>
        <w:ind w:hanging="720"/>
        <w:rPr>
          <w:rFonts w:cs="Times New Roman"/>
          <w:color w:val="000000"/>
        </w:rPr>
      </w:pPr>
      <w:r w:rsidRPr="005F1973">
        <w:rPr>
          <w:rFonts w:cs="Times New Roman"/>
          <w:color w:val="000000"/>
        </w:rPr>
        <w:t xml:space="preserve">Prejudicial. </w:t>
      </w:r>
      <w:r w:rsidR="00427EC3" w:rsidRPr="005F1973">
        <w:rPr>
          <w:rFonts w:cs="Times New Roman"/>
          <w:i/>
          <w:color w:val="000000"/>
        </w:rPr>
        <w:t>See</w:t>
      </w:r>
      <w:r w:rsidR="00427EC3" w:rsidRPr="005F1973">
        <w:rPr>
          <w:rFonts w:cs="Times New Roman"/>
          <w:color w:val="000000"/>
        </w:rPr>
        <w:t xml:space="preserve"> </w:t>
      </w:r>
      <w:r w:rsidRPr="005F1973">
        <w:rPr>
          <w:rFonts w:cs="Times New Roman"/>
          <w:color w:val="000000"/>
        </w:rPr>
        <w:t>Conn. Evid. Code § 4-3</w:t>
      </w:r>
      <w:r w:rsidR="001B5B31">
        <w:rPr>
          <w:rFonts w:cs="Times New Roman"/>
          <w:color w:val="000000"/>
        </w:rPr>
        <w:t>.</w:t>
      </w:r>
    </w:p>
    <w:p w14:paraId="2D1867C2" w14:textId="3660BCCB" w:rsidR="002B257C" w:rsidRPr="005F1973" w:rsidRDefault="002B257C" w:rsidP="003E3400">
      <w:pPr>
        <w:numPr>
          <w:ilvl w:val="0"/>
          <w:numId w:val="4"/>
        </w:numPr>
        <w:tabs>
          <w:tab w:val="left" w:pos="220"/>
          <w:tab w:val="left" w:pos="720"/>
        </w:tabs>
        <w:autoSpaceDE w:val="0"/>
        <w:autoSpaceDN w:val="0"/>
        <w:adjustRightInd w:val="0"/>
        <w:ind w:hanging="720"/>
        <w:rPr>
          <w:rFonts w:cs="Times New Roman"/>
          <w:color w:val="000000"/>
        </w:rPr>
      </w:pPr>
      <w:r w:rsidRPr="005F1973">
        <w:rPr>
          <w:rFonts w:cs="Times New Roman"/>
          <w:color w:val="000000"/>
        </w:rPr>
        <w:t>Evidence of an inadmissible fact, such as inadmissible character evidence or criminal</w:t>
      </w:r>
      <w:r w:rsidRPr="005F1973">
        <w:rPr>
          <w:rFonts w:ascii="MS Gothic" w:eastAsia="MS Gothic" w:hAnsi="MS Gothic" w:cs="MS Gothic" w:hint="eastAsia"/>
          <w:color w:val="000000"/>
        </w:rPr>
        <w:t> </w:t>
      </w:r>
      <w:r w:rsidRPr="005F1973">
        <w:rPr>
          <w:rFonts w:cs="Times New Roman"/>
          <w:color w:val="000000"/>
        </w:rPr>
        <w:t xml:space="preserve">history. </w:t>
      </w:r>
      <w:r w:rsidR="00427EC3" w:rsidRPr="005F1973">
        <w:rPr>
          <w:rFonts w:cs="Times New Roman"/>
          <w:i/>
          <w:color w:val="000000"/>
        </w:rPr>
        <w:t>See</w:t>
      </w:r>
      <w:r w:rsidR="00427EC3" w:rsidRPr="005F1973">
        <w:rPr>
          <w:rFonts w:cs="Times New Roman"/>
          <w:color w:val="000000"/>
        </w:rPr>
        <w:t xml:space="preserve"> </w:t>
      </w:r>
      <w:r w:rsidRPr="005F1973">
        <w:rPr>
          <w:rFonts w:cs="Times New Roman"/>
          <w:color w:val="000000"/>
        </w:rPr>
        <w:t>Conn. Evid. Code §</w:t>
      </w:r>
      <w:r w:rsidR="00BA6BAE" w:rsidRPr="005F1973">
        <w:rPr>
          <w:rFonts w:cs="Times New Roman"/>
          <w:color w:val="000000"/>
        </w:rPr>
        <w:t>§</w:t>
      </w:r>
      <w:r w:rsidRPr="005F1973">
        <w:rPr>
          <w:rFonts w:cs="Times New Roman"/>
          <w:color w:val="000000"/>
        </w:rPr>
        <w:t xml:space="preserve"> 4-4</w:t>
      </w:r>
      <w:r w:rsidR="00BA6BAE" w:rsidRPr="005F1973">
        <w:rPr>
          <w:rFonts w:cs="Times New Roman"/>
          <w:color w:val="000000"/>
        </w:rPr>
        <w:t>, 4-5</w:t>
      </w:r>
      <w:r w:rsidR="001B5B31">
        <w:rPr>
          <w:rFonts w:cs="Times New Roman"/>
          <w:color w:val="000000"/>
        </w:rPr>
        <w:t>.</w:t>
      </w:r>
    </w:p>
    <w:p w14:paraId="1C51481C" w14:textId="032D7127" w:rsidR="002B257C" w:rsidRPr="005F1973" w:rsidRDefault="002B257C" w:rsidP="003E3400">
      <w:pPr>
        <w:numPr>
          <w:ilvl w:val="0"/>
          <w:numId w:val="4"/>
        </w:numPr>
        <w:tabs>
          <w:tab w:val="left" w:pos="220"/>
          <w:tab w:val="left" w:pos="720"/>
        </w:tabs>
        <w:autoSpaceDE w:val="0"/>
        <w:autoSpaceDN w:val="0"/>
        <w:adjustRightInd w:val="0"/>
        <w:ind w:hanging="720"/>
        <w:rPr>
          <w:rFonts w:cs="Times New Roman"/>
          <w:color w:val="000000"/>
        </w:rPr>
      </w:pPr>
      <w:r w:rsidRPr="005F1973">
        <w:rPr>
          <w:rFonts w:cs="Times New Roman"/>
          <w:color w:val="000000"/>
        </w:rPr>
        <w:t xml:space="preserve">Contain inadmissible opinion testimony. </w:t>
      </w:r>
      <w:r w:rsidR="00427EC3" w:rsidRPr="005F1973">
        <w:rPr>
          <w:rFonts w:cs="Times New Roman"/>
          <w:i/>
          <w:color w:val="000000"/>
        </w:rPr>
        <w:t>See</w:t>
      </w:r>
      <w:r w:rsidR="00427EC3" w:rsidRPr="005F1973">
        <w:rPr>
          <w:rFonts w:cs="Times New Roman"/>
          <w:color w:val="000000"/>
        </w:rPr>
        <w:t xml:space="preserve"> Conn. Evid. Code §§ 7-1</w:t>
      </w:r>
      <w:r w:rsidR="00B745D8" w:rsidRPr="005F1973">
        <w:rPr>
          <w:rFonts w:cs="Times New Roman"/>
          <w:color w:val="000000"/>
        </w:rPr>
        <w:t xml:space="preserve">, </w:t>
      </w:r>
      <w:r w:rsidR="00B745D8" w:rsidRPr="005F1973">
        <w:rPr>
          <w:rFonts w:cs="Times New Roman"/>
          <w:i/>
          <w:color w:val="000000"/>
        </w:rPr>
        <w:t>et seq</w:t>
      </w:r>
      <w:r w:rsidR="00427EC3" w:rsidRPr="005F1973">
        <w:rPr>
          <w:rFonts w:cs="Times New Roman"/>
          <w:color w:val="000000"/>
        </w:rPr>
        <w:t>.</w:t>
      </w:r>
      <w:r w:rsidRPr="005F1973">
        <w:rPr>
          <w:rFonts w:cs="Times New Roman"/>
          <w:color w:val="000000"/>
        </w:rPr>
        <w:t xml:space="preserve"> </w:t>
      </w:r>
    </w:p>
    <w:p w14:paraId="785F8CA5" w14:textId="6B4BAFDC" w:rsidR="00427EC3" w:rsidRPr="005F1973" w:rsidRDefault="002B257C" w:rsidP="003E3400">
      <w:pPr>
        <w:numPr>
          <w:ilvl w:val="0"/>
          <w:numId w:val="4"/>
        </w:numPr>
        <w:tabs>
          <w:tab w:val="left" w:pos="220"/>
          <w:tab w:val="left" w:pos="720"/>
        </w:tabs>
        <w:autoSpaceDE w:val="0"/>
        <w:autoSpaceDN w:val="0"/>
        <w:adjustRightInd w:val="0"/>
        <w:ind w:hanging="720"/>
        <w:rPr>
          <w:rFonts w:cs="Times New Roman"/>
          <w:color w:val="000000"/>
        </w:rPr>
      </w:pPr>
      <w:r w:rsidRPr="005F1973">
        <w:rPr>
          <w:rFonts w:cs="Times New Roman"/>
          <w:color w:val="000000"/>
        </w:rPr>
        <w:t xml:space="preserve">Contain inadmissible hearsay. </w:t>
      </w:r>
      <w:r w:rsidR="00427EC3" w:rsidRPr="005F1973">
        <w:rPr>
          <w:rFonts w:cs="Times New Roman"/>
          <w:i/>
          <w:color w:val="000000"/>
        </w:rPr>
        <w:t>See</w:t>
      </w:r>
      <w:r w:rsidR="00427EC3" w:rsidRPr="005F1973">
        <w:rPr>
          <w:rFonts w:cs="Times New Roman"/>
          <w:color w:val="000000"/>
        </w:rPr>
        <w:t xml:space="preserve"> </w:t>
      </w:r>
      <w:r w:rsidRPr="005F1973">
        <w:rPr>
          <w:rFonts w:cs="Times New Roman"/>
          <w:color w:val="000000"/>
        </w:rPr>
        <w:t>Conn. Evid. Code §</w:t>
      </w:r>
      <w:r w:rsidR="00B745D8" w:rsidRPr="005F1973">
        <w:rPr>
          <w:rFonts w:cs="Times New Roman"/>
          <w:color w:val="000000"/>
        </w:rPr>
        <w:t xml:space="preserve">§ 8-1, </w:t>
      </w:r>
      <w:r w:rsidR="00B745D8" w:rsidRPr="005F1973">
        <w:rPr>
          <w:rFonts w:cs="Times New Roman"/>
          <w:i/>
          <w:color w:val="000000"/>
        </w:rPr>
        <w:t>et seq</w:t>
      </w:r>
      <w:r w:rsidRPr="005F1973">
        <w:rPr>
          <w:rFonts w:cs="Times New Roman"/>
          <w:color w:val="000000"/>
        </w:rPr>
        <w:t xml:space="preserve">. </w:t>
      </w:r>
    </w:p>
    <w:p w14:paraId="46404CD0" w14:textId="77777777" w:rsidR="003E3400" w:rsidRDefault="003E3400" w:rsidP="00427EC3">
      <w:pPr>
        <w:tabs>
          <w:tab w:val="left" w:pos="220"/>
          <w:tab w:val="left" w:pos="720"/>
        </w:tabs>
        <w:autoSpaceDE w:val="0"/>
        <w:autoSpaceDN w:val="0"/>
        <w:adjustRightInd w:val="0"/>
        <w:spacing w:after="240" w:line="300" w:lineRule="atLeast"/>
        <w:rPr>
          <w:rFonts w:cs="Times New Roman"/>
          <w:b/>
          <w:bCs/>
          <w:color w:val="000000"/>
        </w:rPr>
      </w:pPr>
    </w:p>
    <w:p w14:paraId="72325112" w14:textId="22B16546" w:rsidR="006C3592" w:rsidRPr="005F1973" w:rsidRDefault="003E3400" w:rsidP="00427EC3">
      <w:pPr>
        <w:tabs>
          <w:tab w:val="left" w:pos="220"/>
          <w:tab w:val="left" w:pos="720"/>
        </w:tabs>
        <w:autoSpaceDE w:val="0"/>
        <w:autoSpaceDN w:val="0"/>
        <w:adjustRightInd w:val="0"/>
        <w:spacing w:after="240" w:line="300" w:lineRule="atLeast"/>
        <w:rPr>
          <w:rFonts w:eastAsia="MS Mincho" w:cs="Times New Roman"/>
          <w:color w:val="000000"/>
        </w:rPr>
      </w:pPr>
      <w:r>
        <w:rPr>
          <w:rFonts w:cs="Times New Roman"/>
          <w:b/>
          <w:bCs/>
          <w:color w:val="000000"/>
        </w:rPr>
        <w:t>A</w:t>
      </w:r>
      <w:r w:rsidR="002B257C" w:rsidRPr="005F1973">
        <w:rPr>
          <w:rFonts w:cs="Times New Roman"/>
          <w:b/>
          <w:bCs/>
          <w:color w:val="000000"/>
        </w:rPr>
        <w:t xml:space="preserve">dmissibility of documents commonly found in a DCF case file: </w:t>
      </w:r>
    </w:p>
    <w:p w14:paraId="34C417A5" w14:textId="746B2C72" w:rsidR="000B6E32" w:rsidRPr="005F1973" w:rsidRDefault="002B257C" w:rsidP="005F1973">
      <w:pPr>
        <w:tabs>
          <w:tab w:val="left" w:pos="220"/>
          <w:tab w:val="left" w:pos="720"/>
        </w:tabs>
        <w:autoSpaceDE w:val="0"/>
        <w:autoSpaceDN w:val="0"/>
        <w:adjustRightInd w:val="0"/>
        <w:spacing w:after="240" w:line="300" w:lineRule="atLeast"/>
        <w:ind w:left="720"/>
        <w:rPr>
          <w:rFonts w:eastAsia="MS Mincho" w:cs="Times New Roman"/>
          <w:color w:val="000000"/>
        </w:rPr>
      </w:pPr>
      <w:r w:rsidRPr="005F1973">
        <w:rPr>
          <w:rFonts w:cs="Times New Roman"/>
          <w:b/>
          <w:bCs/>
          <w:color w:val="000000"/>
        </w:rPr>
        <w:t>Psychological Evaluation</w:t>
      </w:r>
      <w:r w:rsidRPr="005F1973">
        <w:rPr>
          <w:rFonts w:cs="Times New Roman"/>
          <w:color w:val="000000"/>
        </w:rPr>
        <w:t>:</w:t>
      </w:r>
      <w:r w:rsidR="005D699F" w:rsidRPr="005F1973">
        <w:rPr>
          <w:rFonts w:eastAsia="MS Mincho" w:cs="Times New Roman"/>
          <w:color w:val="000000"/>
        </w:rPr>
        <w:t xml:space="preserve"> </w:t>
      </w:r>
      <w:r w:rsidRPr="005F1973">
        <w:rPr>
          <w:rFonts w:cs="Times New Roman"/>
          <w:color w:val="000000"/>
        </w:rPr>
        <w:t xml:space="preserve">Admissible per order of the court and as a document prepared by expert witness. Evaluator may rely on hearsay for expert opinion. Other information contained in report may still be subject to removal in a contested hearing provided information is irrelevant, unduly prejudicial, or opinion information exceeding scope of evaluator’s established expertise. Hearsay contained in document must be subject to cross-examination. See </w:t>
      </w:r>
      <w:r w:rsidRPr="005F1973">
        <w:rPr>
          <w:rFonts w:cs="Times New Roman"/>
          <w:i/>
          <w:iCs/>
          <w:color w:val="000000"/>
        </w:rPr>
        <w:t>In re Stacey G</w:t>
      </w:r>
      <w:r w:rsidRPr="005F1973">
        <w:rPr>
          <w:rFonts w:cs="Times New Roman"/>
          <w:color w:val="000000"/>
        </w:rPr>
        <w:t xml:space="preserve">., 94 Conn. App. 348 (2006). </w:t>
      </w:r>
    </w:p>
    <w:p w14:paraId="68A833E9" w14:textId="659C4016" w:rsidR="000B6E32" w:rsidRPr="005F1973" w:rsidRDefault="002B257C" w:rsidP="005F1973">
      <w:pPr>
        <w:tabs>
          <w:tab w:val="left" w:pos="220"/>
          <w:tab w:val="left" w:pos="720"/>
        </w:tabs>
        <w:autoSpaceDE w:val="0"/>
        <w:autoSpaceDN w:val="0"/>
        <w:adjustRightInd w:val="0"/>
        <w:spacing w:after="240" w:line="300" w:lineRule="atLeast"/>
        <w:ind w:left="720"/>
        <w:rPr>
          <w:rFonts w:eastAsia="MS Mincho" w:cs="Times New Roman"/>
          <w:color w:val="000000"/>
        </w:rPr>
      </w:pPr>
      <w:r w:rsidRPr="005F1973">
        <w:rPr>
          <w:rFonts w:cs="Times New Roman"/>
          <w:b/>
          <w:bCs/>
          <w:color w:val="000000"/>
        </w:rPr>
        <w:t>DCF Investigation Protocol</w:t>
      </w:r>
      <w:r w:rsidRPr="005F1973">
        <w:rPr>
          <w:rFonts w:cs="Times New Roman"/>
          <w:color w:val="000000"/>
        </w:rPr>
        <w:t>:</w:t>
      </w:r>
      <w:r w:rsidR="005D699F" w:rsidRPr="005F1973">
        <w:rPr>
          <w:rFonts w:eastAsia="MS Mincho" w:cs="Times New Roman"/>
          <w:color w:val="000000"/>
        </w:rPr>
        <w:t xml:space="preserve"> </w:t>
      </w:r>
      <w:r w:rsidRPr="005F1973">
        <w:rPr>
          <w:rFonts w:cs="Times New Roman"/>
          <w:color w:val="000000"/>
        </w:rPr>
        <w:t xml:space="preserve">Admissible as a business record. </w:t>
      </w:r>
      <w:r w:rsidRPr="00B9607A">
        <w:rPr>
          <w:rFonts w:cs="Times New Roman"/>
          <w:i/>
          <w:color w:val="000000"/>
        </w:rPr>
        <w:t>Conn. Gen. Stat. § 52-180</w:t>
      </w:r>
      <w:r w:rsidRPr="005F1973">
        <w:rPr>
          <w:rFonts w:cs="Times New Roman"/>
          <w:color w:val="000000"/>
        </w:rPr>
        <w:t xml:space="preserve">. However, </w:t>
      </w:r>
      <w:r w:rsidRPr="005F1973">
        <w:rPr>
          <w:rFonts w:cs="Times New Roman"/>
          <w:color w:val="000000"/>
        </w:rPr>
        <w:lastRenderedPageBreak/>
        <w:t xml:space="preserve">business records are still subject to other rules of evidence. Hearsay contained in business record must still be otherwise admissible. It may be possible to qualify the </w:t>
      </w:r>
      <w:r w:rsidR="00B9607A">
        <w:rPr>
          <w:rFonts w:cs="Times New Roman"/>
          <w:color w:val="000000"/>
        </w:rPr>
        <w:t>s</w:t>
      </w:r>
      <w:r w:rsidRPr="005F1973">
        <w:rPr>
          <w:rFonts w:cs="Times New Roman"/>
          <w:color w:val="000000"/>
        </w:rPr>
        <w:t xml:space="preserve">ocial </w:t>
      </w:r>
      <w:r w:rsidR="00B9607A">
        <w:rPr>
          <w:rFonts w:cs="Times New Roman"/>
          <w:color w:val="000000"/>
        </w:rPr>
        <w:t>w</w:t>
      </w:r>
      <w:r w:rsidRPr="005F1973">
        <w:rPr>
          <w:rFonts w:cs="Times New Roman"/>
          <w:color w:val="000000"/>
        </w:rPr>
        <w:t>orker as an expert witness and therefore allow for the admission of hearsay as information reasonably relied upon by the expert witness. The offeror must identify the worker’s specific area of expertise. For example: the social worker may be an expert in the area of investigations, and therefore the hearsay statements are central to his/her conclusions. Remember</w:t>
      </w:r>
      <w:r w:rsidR="00B9607A">
        <w:rPr>
          <w:rFonts w:cs="Times New Roman"/>
          <w:color w:val="000000"/>
        </w:rPr>
        <w:t>,</w:t>
      </w:r>
      <w:r w:rsidRPr="005F1973">
        <w:rPr>
          <w:rFonts w:cs="Times New Roman"/>
          <w:color w:val="000000"/>
        </w:rPr>
        <w:t xml:space="preserve"> however</w:t>
      </w:r>
      <w:r w:rsidR="00B9607A">
        <w:rPr>
          <w:rFonts w:cs="Times New Roman"/>
          <w:color w:val="000000"/>
        </w:rPr>
        <w:t>,</w:t>
      </w:r>
      <w:r w:rsidRPr="005F1973">
        <w:rPr>
          <w:rFonts w:cs="Times New Roman"/>
          <w:color w:val="000000"/>
        </w:rPr>
        <w:t xml:space="preserve"> that the statements still can’t be admitted for the truth of the matter asserted. Remember also that third party statements within the business record are admissible so long as the proponent of the statement had a business duty to report. </w:t>
      </w:r>
    </w:p>
    <w:p w14:paraId="7D2B38F8" w14:textId="10AF8071" w:rsidR="000B6E32" w:rsidRPr="005F1973" w:rsidRDefault="002B257C" w:rsidP="00B9607A">
      <w:pPr>
        <w:tabs>
          <w:tab w:val="left" w:pos="220"/>
          <w:tab w:val="left" w:pos="720"/>
        </w:tabs>
        <w:autoSpaceDE w:val="0"/>
        <w:autoSpaceDN w:val="0"/>
        <w:adjustRightInd w:val="0"/>
        <w:spacing w:after="240" w:line="300" w:lineRule="atLeast"/>
        <w:ind w:left="720"/>
        <w:rPr>
          <w:rFonts w:eastAsia="MS Mincho" w:cs="Times New Roman"/>
          <w:color w:val="000000"/>
        </w:rPr>
      </w:pPr>
      <w:r w:rsidRPr="005F1973">
        <w:rPr>
          <w:rFonts w:cs="Times New Roman"/>
          <w:b/>
          <w:bCs/>
          <w:color w:val="000000"/>
        </w:rPr>
        <w:t>Drug test analysis/report</w:t>
      </w:r>
      <w:r w:rsidRPr="005F1973">
        <w:rPr>
          <w:rFonts w:cs="Times New Roman"/>
          <w:color w:val="000000"/>
        </w:rPr>
        <w:t>:</w:t>
      </w:r>
      <w:r w:rsidR="00FB0D2B" w:rsidRPr="005F1973">
        <w:rPr>
          <w:rFonts w:eastAsia="MS Mincho" w:cs="Times New Roman"/>
          <w:color w:val="000000"/>
        </w:rPr>
        <w:t xml:space="preserve"> </w:t>
      </w:r>
      <w:r w:rsidRPr="005F1973">
        <w:rPr>
          <w:rFonts w:cs="Times New Roman"/>
          <w:color w:val="000000"/>
        </w:rPr>
        <w:t xml:space="preserve">Admissible as a business record through creator of the report. It will often be stipulated to by the parties. </w:t>
      </w:r>
    </w:p>
    <w:p w14:paraId="64CBFB41" w14:textId="60A4DB31" w:rsidR="000B6E32" w:rsidRPr="005F1973" w:rsidRDefault="002B257C" w:rsidP="00B9607A">
      <w:pPr>
        <w:tabs>
          <w:tab w:val="left" w:pos="220"/>
          <w:tab w:val="left" w:pos="720"/>
        </w:tabs>
        <w:autoSpaceDE w:val="0"/>
        <w:autoSpaceDN w:val="0"/>
        <w:adjustRightInd w:val="0"/>
        <w:spacing w:after="240" w:line="300" w:lineRule="atLeast"/>
        <w:ind w:left="720"/>
        <w:rPr>
          <w:rFonts w:eastAsia="MS Mincho" w:cs="Times New Roman"/>
          <w:color w:val="000000"/>
        </w:rPr>
      </w:pPr>
      <w:r w:rsidRPr="005F1973">
        <w:rPr>
          <w:rFonts w:cs="Times New Roman"/>
          <w:b/>
          <w:bCs/>
          <w:color w:val="000000"/>
        </w:rPr>
        <w:t>DCF Running Narrative</w:t>
      </w:r>
      <w:r w:rsidRPr="005F1973">
        <w:rPr>
          <w:rFonts w:cs="Times New Roman"/>
          <w:color w:val="000000"/>
        </w:rPr>
        <w:t>:</w:t>
      </w:r>
      <w:r w:rsidR="00FB0D2B" w:rsidRPr="005F1973">
        <w:rPr>
          <w:rFonts w:eastAsia="MS Mincho" w:cs="Times New Roman"/>
          <w:color w:val="000000"/>
        </w:rPr>
        <w:t xml:space="preserve"> </w:t>
      </w:r>
      <w:r w:rsidRPr="005F1973">
        <w:rPr>
          <w:rFonts w:cs="Times New Roman"/>
          <w:color w:val="000000"/>
        </w:rPr>
        <w:t xml:space="preserve">Similar to the DCF Investigation Protocol, the narrative contains numerous hearsay statements and other statements of questionable admissibility. Opponent of document must identify specific objections and DCF must explain applicable hearsay exceptions. Specific pages may be redacted prior to admission as a full exhibit. </w:t>
      </w:r>
      <w:r w:rsidRPr="005F1973">
        <w:rPr>
          <w:rFonts w:cs="Times New Roman"/>
          <w:i/>
          <w:iCs/>
          <w:color w:val="000000"/>
        </w:rPr>
        <w:t>State v. Palozie</w:t>
      </w:r>
      <w:r w:rsidRPr="005F1973">
        <w:rPr>
          <w:rFonts w:cs="Times New Roman"/>
          <w:color w:val="000000"/>
        </w:rPr>
        <w:t>, 165 Conn. 294 (1973)</w:t>
      </w:r>
      <w:r w:rsidR="006F0746" w:rsidRPr="005F1973">
        <w:rPr>
          <w:rFonts w:cs="Times New Roman"/>
          <w:color w:val="000000"/>
        </w:rPr>
        <w:t xml:space="preserve">; </w:t>
      </w:r>
      <w:r w:rsidR="006F0746" w:rsidRPr="005F1973">
        <w:rPr>
          <w:rFonts w:cs="Times New Roman"/>
          <w:i/>
          <w:color w:val="000000"/>
        </w:rPr>
        <w:t xml:space="preserve">see also </w:t>
      </w:r>
      <w:r w:rsidR="00F75AD2" w:rsidRPr="005F1973">
        <w:rPr>
          <w:rFonts w:cs="Times New Roman"/>
          <w:i/>
          <w:color w:val="000000"/>
        </w:rPr>
        <w:t>Butts v. Leone</w:t>
      </w:r>
      <w:r w:rsidR="00F75AD2" w:rsidRPr="005F1973">
        <w:rPr>
          <w:rFonts w:cs="Times New Roman"/>
          <w:color w:val="000000"/>
        </w:rPr>
        <w:t>, 2000 WL 327428 at *2 (2000)</w:t>
      </w:r>
      <w:r w:rsidRPr="005F1973">
        <w:rPr>
          <w:rFonts w:cs="Times New Roman"/>
          <w:color w:val="000000"/>
        </w:rPr>
        <w:t xml:space="preserve">. </w:t>
      </w:r>
    </w:p>
    <w:p w14:paraId="01B499FF" w14:textId="3827A2D5" w:rsidR="00FB0D2B" w:rsidRPr="005F1973" w:rsidRDefault="002B257C" w:rsidP="00B9607A">
      <w:pPr>
        <w:tabs>
          <w:tab w:val="left" w:pos="220"/>
          <w:tab w:val="left" w:pos="720"/>
        </w:tabs>
        <w:autoSpaceDE w:val="0"/>
        <w:autoSpaceDN w:val="0"/>
        <w:adjustRightInd w:val="0"/>
        <w:spacing w:after="240" w:line="300" w:lineRule="atLeast"/>
        <w:ind w:left="720"/>
        <w:rPr>
          <w:rFonts w:eastAsia="MS Mincho" w:cs="Times New Roman"/>
          <w:color w:val="000000"/>
        </w:rPr>
      </w:pPr>
      <w:r w:rsidRPr="005F1973">
        <w:rPr>
          <w:rFonts w:cs="Times New Roman"/>
          <w:b/>
          <w:bCs/>
          <w:color w:val="000000"/>
        </w:rPr>
        <w:t>Hospital social worker affidavit</w:t>
      </w:r>
      <w:r w:rsidRPr="005F1973">
        <w:rPr>
          <w:rFonts w:cs="Times New Roman"/>
          <w:color w:val="000000"/>
        </w:rPr>
        <w:t>:</w:t>
      </w:r>
      <w:r w:rsidR="00FB0D2B" w:rsidRPr="005F1973">
        <w:rPr>
          <w:rFonts w:eastAsia="MS Mincho" w:cs="Times New Roman"/>
          <w:color w:val="000000"/>
        </w:rPr>
        <w:t xml:space="preserve"> </w:t>
      </w:r>
      <w:r w:rsidRPr="005F1973">
        <w:rPr>
          <w:rFonts w:cs="Times New Roman"/>
          <w:color w:val="000000"/>
        </w:rPr>
        <w:t xml:space="preserve">Affidavit only admissible per C.G.S. §46b-129 and certain statements in affidavit might be admissible while others are not. For example, if the affiant is an LCSW and the document contains statements such as “lab test positive for cocaine,” such statement lies outside the scope of the statutory hearsay exception. Consider whether affiant can offer a statement as to the ultimate issue, such as a statement regarding the grounds for the Order of Temporary Custody (i.e. imminent danger.) Arguably, only an expert may testify as to seriousness or imminence. </w:t>
      </w:r>
    </w:p>
    <w:p w14:paraId="163A9F2C" w14:textId="5CA82890" w:rsidR="002B257C" w:rsidRPr="005F1973" w:rsidRDefault="002B257C" w:rsidP="00B9607A">
      <w:pPr>
        <w:autoSpaceDE w:val="0"/>
        <w:autoSpaceDN w:val="0"/>
        <w:adjustRightInd w:val="0"/>
        <w:spacing w:after="240" w:line="300" w:lineRule="atLeast"/>
        <w:ind w:left="720"/>
        <w:rPr>
          <w:rFonts w:cs="Times New Roman"/>
          <w:color w:val="000000"/>
        </w:rPr>
      </w:pPr>
      <w:r w:rsidRPr="005F1973">
        <w:rPr>
          <w:rFonts w:cs="Times New Roman"/>
          <w:b/>
          <w:bCs/>
          <w:color w:val="000000"/>
        </w:rPr>
        <w:t>Affidavit by social worker</w:t>
      </w:r>
      <w:r w:rsidRPr="005F1973">
        <w:rPr>
          <w:rFonts w:cs="Times New Roman"/>
          <w:color w:val="000000"/>
        </w:rPr>
        <w:t>:</w:t>
      </w:r>
      <w:r w:rsidR="00FB0D2B" w:rsidRPr="005F1973">
        <w:rPr>
          <w:rFonts w:eastAsia="MS Mincho" w:cs="Times New Roman"/>
          <w:color w:val="000000"/>
        </w:rPr>
        <w:t xml:space="preserve"> </w:t>
      </w:r>
      <w:r w:rsidRPr="005F1973">
        <w:rPr>
          <w:rFonts w:cs="Times New Roman"/>
          <w:color w:val="000000"/>
        </w:rPr>
        <w:t xml:space="preserve">Again, not admissible unless specific requirements of Conn. Gen. Stat. § 46b-129 are met. Subject to numerous admissibility challenges in OTC and other contested hearings. </w:t>
      </w:r>
    </w:p>
    <w:p w14:paraId="61F926A9" w14:textId="19B1EB2D" w:rsidR="002B257C" w:rsidRPr="005F1973" w:rsidRDefault="002B257C" w:rsidP="00B9607A">
      <w:pPr>
        <w:autoSpaceDE w:val="0"/>
        <w:autoSpaceDN w:val="0"/>
        <w:adjustRightInd w:val="0"/>
        <w:spacing w:after="240" w:line="300" w:lineRule="atLeast"/>
        <w:ind w:left="720"/>
        <w:rPr>
          <w:rFonts w:cs="Times New Roman"/>
          <w:color w:val="000000"/>
        </w:rPr>
      </w:pPr>
      <w:r w:rsidRPr="005F1973">
        <w:rPr>
          <w:rFonts w:cs="Times New Roman"/>
          <w:b/>
          <w:bCs/>
          <w:color w:val="000000"/>
        </w:rPr>
        <w:t>Police record</w:t>
      </w:r>
      <w:r w:rsidRPr="005F1973">
        <w:rPr>
          <w:rFonts w:cs="Times New Roman"/>
          <w:color w:val="000000"/>
        </w:rPr>
        <w:t>:</w:t>
      </w:r>
      <w:r w:rsidR="00FB0D2B" w:rsidRPr="005F1973">
        <w:rPr>
          <w:rFonts w:eastAsia="MS Mincho" w:cs="Times New Roman"/>
          <w:color w:val="000000"/>
        </w:rPr>
        <w:t xml:space="preserve"> </w:t>
      </w:r>
      <w:r w:rsidRPr="005F1973">
        <w:rPr>
          <w:rFonts w:cs="Times New Roman"/>
          <w:color w:val="000000"/>
        </w:rPr>
        <w:t xml:space="preserve">Admissible if provided as certified public document. Remember to consider admissibility of convictions that have been nolle </w:t>
      </w:r>
      <w:r w:rsidR="00AC46AE" w:rsidRPr="005F1973">
        <w:rPr>
          <w:rFonts w:cs="Times New Roman"/>
          <w:color w:val="000000"/>
        </w:rPr>
        <w:t>pros</w:t>
      </w:r>
      <w:r w:rsidR="00AC46AE">
        <w:rPr>
          <w:rFonts w:cs="Times New Roman"/>
          <w:color w:val="000000"/>
        </w:rPr>
        <w:t>s</w:t>
      </w:r>
      <w:r w:rsidR="00AC46AE" w:rsidRPr="005F1973">
        <w:rPr>
          <w:rFonts w:cs="Times New Roman"/>
          <w:color w:val="000000"/>
        </w:rPr>
        <w:t>ed</w:t>
      </w:r>
      <w:r w:rsidRPr="005F1973">
        <w:rPr>
          <w:rFonts w:cs="Times New Roman"/>
          <w:color w:val="000000"/>
        </w:rPr>
        <w:t xml:space="preserve"> or that are too remote in time or circumstance to be relevant. The Connecticut Supreme Court has not established an absolute time limit on the admissibility of certain convictions, but </w:t>
      </w:r>
      <w:r w:rsidR="00F025CA" w:rsidRPr="005F1973">
        <w:rPr>
          <w:rFonts w:cs="Times New Roman"/>
          <w:color w:val="000000"/>
        </w:rPr>
        <w:t xml:space="preserve">following Federal Rule of Evidence </w:t>
      </w:r>
      <w:r w:rsidR="00D54A0A" w:rsidRPr="005F1973">
        <w:rPr>
          <w:rFonts w:cs="Times New Roman"/>
          <w:color w:val="000000"/>
        </w:rPr>
        <w:t xml:space="preserve">609(b), </w:t>
      </w:r>
      <w:r w:rsidRPr="005F1973">
        <w:rPr>
          <w:rFonts w:cs="Times New Roman"/>
          <w:color w:val="000000"/>
        </w:rPr>
        <w:t xml:space="preserve">the Court has suggested a ten year limit. </w:t>
      </w:r>
      <w:r w:rsidRPr="005F1973">
        <w:rPr>
          <w:rFonts w:cs="Times New Roman"/>
          <w:i/>
          <w:iCs/>
          <w:color w:val="000000"/>
        </w:rPr>
        <w:t>State v.Carter</w:t>
      </w:r>
      <w:r w:rsidRPr="005F1973">
        <w:rPr>
          <w:rFonts w:cs="Times New Roman"/>
          <w:color w:val="000000"/>
        </w:rPr>
        <w:t>, 228 Conn. 431 (1994)</w:t>
      </w:r>
      <w:r w:rsidR="00D54A0A" w:rsidRPr="005F1973">
        <w:rPr>
          <w:rFonts w:cs="Times New Roman"/>
          <w:color w:val="000000"/>
        </w:rPr>
        <w:t xml:space="preserve">; </w:t>
      </w:r>
      <w:r w:rsidR="00D54A0A" w:rsidRPr="005F1973">
        <w:rPr>
          <w:rFonts w:cs="Times New Roman"/>
          <w:i/>
          <w:color w:val="000000"/>
        </w:rPr>
        <w:t>accord State v. Clark</w:t>
      </w:r>
      <w:r w:rsidR="00D54A0A" w:rsidRPr="005F1973">
        <w:rPr>
          <w:rFonts w:cs="Times New Roman"/>
          <w:color w:val="000000"/>
        </w:rPr>
        <w:t>, 137 Conn.App. 203, 208-209 (2012)</w:t>
      </w:r>
      <w:r w:rsidRPr="005F1973">
        <w:rPr>
          <w:rFonts w:cs="Times New Roman"/>
          <w:color w:val="000000"/>
        </w:rPr>
        <w:t xml:space="preserve">. </w:t>
      </w:r>
      <w:r w:rsidR="00D54A0A" w:rsidRPr="005F1973">
        <w:rPr>
          <w:rFonts w:cs="Times New Roman"/>
          <w:i/>
          <w:color w:val="000000"/>
        </w:rPr>
        <w:t>See also</w:t>
      </w:r>
      <w:r w:rsidR="00D54A0A" w:rsidRPr="005F1973">
        <w:rPr>
          <w:rFonts w:cs="Times New Roman"/>
          <w:color w:val="000000"/>
        </w:rPr>
        <w:t xml:space="preserve"> Conn. Evid. Code § </w:t>
      </w:r>
      <w:r w:rsidRPr="005F1973">
        <w:rPr>
          <w:rFonts w:cs="Times New Roman"/>
          <w:color w:val="000000"/>
        </w:rPr>
        <w:t>6.7</w:t>
      </w:r>
      <w:r w:rsidR="00D54A0A" w:rsidRPr="005F1973">
        <w:rPr>
          <w:rFonts w:cs="Times New Roman"/>
          <w:color w:val="000000"/>
        </w:rPr>
        <w:t>.</w:t>
      </w:r>
      <w:r w:rsidRPr="005F1973">
        <w:rPr>
          <w:rFonts w:cs="Times New Roman"/>
          <w:color w:val="000000"/>
        </w:rPr>
        <w:t xml:space="preserve"> </w:t>
      </w:r>
    </w:p>
    <w:p w14:paraId="2E4D0CC5" w14:textId="77777777" w:rsidR="002B257C" w:rsidRPr="005F1973" w:rsidRDefault="002B257C" w:rsidP="00B9607A">
      <w:pPr>
        <w:autoSpaceDE w:val="0"/>
        <w:autoSpaceDN w:val="0"/>
        <w:adjustRightInd w:val="0"/>
        <w:spacing w:after="240" w:line="300" w:lineRule="atLeast"/>
        <w:ind w:firstLine="720"/>
        <w:rPr>
          <w:rFonts w:cs="Times New Roman"/>
          <w:color w:val="000000"/>
        </w:rPr>
      </w:pPr>
      <w:r w:rsidRPr="005F1973">
        <w:rPr>
          <w:rFonts w:cs="Times New Roman"/>
          <w:b/>
          <w:bCs/>
          <w:color w:val="000000"/>
        </w:rPr>
        <w:t>Certificates of program completion</w:t>
      </w:r>
      <w:r w:rsidRPr="005F1973">
        <w:rPr>
          <w:rFonts w:cs="Times New Roman"/>
          <w:color w:val="000000"/>
        </w:rPr>
        <w:t xml:space="preserve">: Hearsay unless identified by service provider. </w:t>
      </w:r>
    </w:p>
    <w:p w14:paraId="5CEFA034" w14:textId="1EBEB15E" w:rsidR="002B257C" w:rsidRPr="005F1973" w:rsidRDefault="002B257C" w:rsidP="00B9607A">
      <w:pPr>
        <w:autoSpaceDE w:val="0"/>
        <w:autoSpaceDN w:val="0"/>
        <w:adjustRightInd w:val="0"/>
        <w:spacing w:after="240" w:line="300" w:lineRule="atLeast"/>
        <w:ind w:left="720"/>
        <w:rPr>
          <w:rFonts w:cs="Times New Roman"/>
          <w:color w:val="000000"/>
        </w:rPr>
      </w:pPr>
      <w:r w:rsidRPr="005F1973">
        <w:rPr>
          <w:rFonts w:cs="Times New Roman"/>
          <w:b/>
          <w:bCs/>
          <w:color w:val="000000"/>
        </w:rPr>
        <w:t>Social Study</w:t>
      </w:r>
      <w:r w:rsidRPr="005F1973">
        <w:rPr>
          <w:rFonts w:cs="Times New Roman"/>
          <w:color w:val="000000"/>
        </w:rPr>
        <w:t>:</w:t>
      </w:r>
      <w:r w:rsidR="00FB0D2B" w:rsidRPr="005F1973">
        <w:rPr>
          <w:rFonts w:eastAsia="MS Mincho" w:cs="Times New Roman"/>
          <w:color w:val="000000"/>
        </w:rPr>
        <w:t xml:space="preserve"> </w:t>
      </w:r>
      <w:r w:rsidRPr="005F1973">
        <w:rPr>
          <w:rFonts w:cs="Times New Roman"/>
          <w:color w:val="000000"/>
        </w:rPr>
        <w:t xml:space="preserve">The social study will be a multi-page document outlining all of DCF’s findings about the family, each parent’s strengths and weaknesses, and DCF’s dispositional recommendation (i.e. child should go home with parent, child should be committed to DCF, etc). The document, while in some ways useful, may contain multiple hearsay statements or allegations </w:t>
      </w:r>
      <w:r w:rsidR="00B41AB2" w:rsidRPr="005F1973">
        <w:rPr>
          <w:rFonts w:cs="Times New Roman"/>
          <w:color w:val="000000"/>
        </w:rPr>
        <w:t xml:space="preserve">made </w:t>
      </w:r>
      <w:r w:rsidRPr="005F1973">
        <w:rPr>
          <w:rFonts w:cs="Times New Roman"/>
          <w:color w:val="000000"/>
        </w:rPr>
        <w:t>with</w:t>
      </w:r>
      <w:r w:rsidR="00B41AB2" w:rsidRPr="005F1973">
        <w:rPr>
          <w:rFonts w:cs="Times New Roman"/>
          <w:color w:val="000000"/>
        </w:rPr>
        <w:t xml:space="preserve">out a </w:t>
      </w:r>
      <w:r w:rsidRPr="005F1973">
        <w:rPr>
          <w:rFonts w:cs="Times New Roman"/>
          <w:color w:val="000000"/>
        </w:rPr>
        <w:t>precise foundation. All parties are entitled to a copy of the Social Study in advance of a hearin</w:t>
      </w:r>
      <w:r w:rsidR="00BC2156" w:rsidRPr="005F1973">
        <w:rPr>
          <w:rFonts w:cs="Times New Roman"/>
          <w:color w:val="000000"/>
        </w:rPr>
        <w:t>g or Case Status Conference</w:t>
      </w:r>
      <w:r w:rsidRPr="005F1973">
        <w:rPr>
          <w:rFonts w:cs="Times New Roman"/>
          <w:color w:val="000000"/>
        </w:rPr>
        <w:t xml:space="preserve">. </w:t>
      </w:r>
      <w:r w:rsidR="00B41AB2" w:rsidRPr="00404C9D">
        <w:rPr>
          <w:rFonts w:cs="Times New Roman"/>
          <w:i/>
          <w:color w:val="000000"/>
        </w:rPr>
        <w:t xml:space="preserve">CT </w:t>
      </w:r>
      <w:r w:rsidRPr="00404C9D">
        <w:rPr>
          <w:rFonts w:cs="Times New Roman"/>
          <w:i/>
          <w:color w:val="000000"/>
        </w:rPr>
        <w:t>P.B. § 35a-10</w:t>
      </w:r>
      <w:r w:rsidRPr="005F1973">
        <w:rPr>
          <w:rFonts w:cs="Times New Roman"/>
          <w:color w:val="000000"/>
        </w:rPr>
        <w:t xml:space="preserve">. The Social Study is also subject to motions </w:t>
      </w:r>
      <w:r w:rsidRPr="005F1973">
        <w:rPr>
          <w:rFonts w:cs="Times New Roman"/>
          <w:i/>
          <w:color w:val="000000"/>
        </w:rPr>
        <w:t>in limine</w:t>
      </w:r>
      <w:r w:rsidRPr="005F1973">
        <w:rPr>
          <w:rFonts w:cs="Times New Roman"/>
          <w:color w:val="000000"/>
        </w:rPr>
        <w:t xml:space="preserve"> for the purpose of challenging </w:t>
      </w:r>
      <w:r w:rsidRPr="005F1973">
        <w:rPr>
          <w:rFonts w:cs="Times New Roman"/>
          <w:color w:val="000000"/>
        </w:rPr>
        <w:lastRenderedPageBreak/>
        <w:t>inadmissible contents</w:t>
      </w:r>
      <w:r w:rsidR="00BC2156" w:rsidRPr="005F1973">
        <w:rPr>
          <w:rFonts w:cs="Times New Roman"/>
          <w:color w:val="000000"/>
        </w:rPr>
        <w:t xml:space="preserve"> and all parties are entitled to cross examine the author prior to the admission of the document</w:t>
      </w:r>
      <w:r w:rsidRPr="005F1973">
        <w:rPr>
          <w:rFonts w:cs="Times New Roman"/>
          <w:color w:val="000000"/>
        </w:rPr>
        <w:t xml:space="preserve">. </w:t>
      </w:r>
      <w:r w:rsidR="00BC2156" w:rsidRPr="00404C9D">
        <w:rPr>
          <w:rFonts w:cs="Times New Roman"/>
          <w:i/>
          <w:color w:val="000000"/>
        </w:rPr>
        <w:t>CT P.B. § 35a-9.</w:t>
      </w:r>
    </w:p>
    <w:p w14:paraId="51DF1DFF" w14:textId="4CEA743D" w:rsidR="00B9607A" w:rsidRDefault="00B23F13" w:rsidP="00B9607A">
      <w:pPr>
        <w:numPr>
          <w:ilvl w:val="0"/>
          <w:numId w:val="5"/>
        </w:numPr>
        <w:tabs>
          <w:tab w:val="left" w:pos="220"/>
          <w:tab w:val="left" w:pos="720"/>
        </w:tabs>
        <w:autoSpaceDE w:val="0"/>
        <w:autoSpaceDN w:val="0"/>
        <w:adjustRightInd w:val="0"/>
        <w:spacing w:after="240"/>
        <w:ind w:hanging="720"/>
        <w:rPr>
          <w:rFonts w:cs="Times New Roman"/>
          <w:color w:val="000000"/>
        </w:rPr>
      </w:pPr>
      <w:r w:rsidRPr="005F1973">
        <w:rPr>
          <w:rFonts w:cs="Times New Roman"/>
          <w:color w:val="000000"/>
          <w:u w:val="single"/>
        </w:rPr>
        <w:t>I</w:t>
      </w:r>
      <w:r w:rsidR="002B257C" w:rsidRPr="005F1973">
        <w:rPr>
          <w:rFonts w:cs="Times New Roman"/>
          <w:color w:val="000000"/>
          <w:u w:val="single"/>
        </w:rPr>
        <w:t xml:space="preserve">s the </w:t>
      </w:r>
      <w:r w:rsidR="00AC46AE">
        <w:rPr>
          <w:rFonts w:cs="Times New Roman"/>
          <w:color w:val="000000"/>
          <w:u w:val="single"/>
        </w:rPr>
        <w:t>S</w:t>
      </w:r>
      <w:r w:rsidR="002B257C" w:rsidRPr="005F1973">
        <w:rPr>
          <w:rFonts w:cs="Times New Roman"/>
          <w:color w:val="000000"/>
          <w:u w:val="single"/>
        </w:rPr>
        <w:t xml:space="preserve">ocial </w:t>
      </w:r>
      <w:r w:rsidR="00AC46AE">
        <w:rPr>
          <w:rFonts w:cs="Times New Roman"/>
          <w:color w:val="000000"/>
          <w:u w:val="single"/>
        </w:rPr>
        <w:t>S</w:t>
      </w:r>
      <w:r w:rsidR="002B257C" w:rsidRPr="005F1973">
        <w:rPr>
          <w:rFonts w:cs="Times New Roman"/>
          <w:color w:val="000000"/>
          <w:u w:val="single"/>
        </w:rPr>
        <w:t>tudy admissible</w:t>
      </w:r>
      <w:r w:rsidR="002B257C" w:rsidRPr="005F1973">
        <w:rPr>
          <w:rFonts w:cs="Times New Roman"/>
          <w:color w:val="000000"/>
        </w:rPr>
        <w:t>?</w:t>
      </w:r>
    </w:p>
    <w:p w14:paraId="6FE1E565" w14:textId="5031F0E7" w:rsidR="002B257C" w:rsidRPr="00B9607A" w:rsidRDefault="00B9607A" w:rsidP="00B9607A">
      <w:pPr>
        <w:tabs>
          <w:tab w:val="left" w:pos="220"/>
          <w:tab w:val="left" w:pos="720"/>
        </w:tabs>
        <w:autoSpaceDE w:val="0"/>
        <w:autoSpaceDN w:val="0"/>
        <w:adjustRightInd w:val="0"/>
        <w:spacing w:after="240"/>
        <w:ind w:left="1440"/>
        <w:rPr>
          <w:rFonts w:cs="Times New Roman"/>
          <w:color w:val="000000"/>
        </w:rPr>
      </w:pPr>
      <w:r>
        <w:rPr>
          <w:rFonts w:cs="Times New Roman"/>
          <w:color w:val="000000"/>
        </w:rPr>
        <w:t>P</w:t>
      </w:r>
      <w:r w:rsidR="002B257C" w:rsidRPr="00B9607A">
        <w:rPr>
          <w:rFonts w:cs="Times New Roman"/>
          <w:color w:val="000000"/>
        </w:rPr>
        <w:t xml:space="preserve">ractice Book § 35a-9 requires that the court receive a </w:t>
      </w:r>
      <w:r w:rsidR="00AC46AE">
        <w:rPr>
          <w:rFonts w:cs="Times New Roman"/>
          <w:color w:val="000000"/>
        </w:rPr>
        <w:t>Social S</w:t>
      </w:r>
      <w:r w:rsidR="002B257C" w:rsidRPr="00B9607A">
        <w:rPr>
          <w:rFonts w:cs="Times New Roman"/>
          <w:color w:val="000000"/>
        </w:rPr>
        <w:t xml:space="preserve">tudy prior to issuing a dispositional ruling. Section 35a-9 also provides that the court may consider all evidence that is relevant and material to disposition. Therefore, the </w:t>
      </w:r>
      <w:r>
        <w:rPr>
          <w:rFonts w:cs="Times New Roman"/>
          <w:color w:val="000000"/>
        </w:rPr>
        <w:t>s</w:t>
      </w:r>
      <w:r w:rsidR="002B257C" w:rsidRPr="00B9607A">
        <w:rPr>
          <w:rFonts w:cs="Times New Roman"/>
          <w:color w:val="000000"/>
        </w:rPr>
        <w:t xml:space="preserve">ocial </w:t>
      </w:r>
      <w:r>
        <w:rPr>
          <w:rFonts w:cs="Times New Roman"/>
          <w:color w:val="000000"/>
        </w:rPr>
        <w:t>s</w:t>
      </w:r>
      <w:r w:rsidR="002B257C" w:rsidRPr="00B9607A">
        <w:rPr>
          <w:rFonts w:cs="Times New Roman"/>
          <w:color w:val="000000"/>
        </w:rPr>
        <w:t xml:space="preserve">tudy is an admissible document, and relevant hearsay contained therein may be permitted. </w:t>
      </w:r>
    </w:p>
    <w:p w14:paraId="6C573127" w14:textId="300E0B44" w:rsidR="00B23F13" w:rsidRPr="005F1973" w:rsidRDefault="002B257C" w:rsidP="002B257C">
      <w:pPr>
        <w:numPr>
          <w:ilvl w:val="0"/>
          <w:numId w:val="5"/>
        </w:numPr>
        <w:tabs>
          <w:tab w:val="left" w:pos="220"/>
          <w:tab w:val="left" w:pos="720"/>
        </w:tabs>
        <w:autoSpaceDE w:val="0"/>
        <w:autoSpaceDN w:val="0"/>
        <w:adjustRightInd w:val="0"/>
        <w:spacing w:after="240" w:line="300" w:lineRule="atLeast"/>
        <w:ind w:hanging="720"/>
        <w:rPr>
          <w:rFonts w:cs="Times New Roman"/>
          <w:color w:val="000000"/>
        </w:rPr>
      </w:pPr>
      <w:r w:rsidRPr="005F1973">
        <w:rPr>
          <w:rFonts w:cs="Times New Roman"/>
          <w:color w:val="000000"/>
          <w:u w:val="single"/>
        </w:rPr>
        <w:t xml:space="preserve">What if you want to limit the admissibility of the </w:t>
      </w:r>
      <w:r w:rsidR="00AC46AE">
        <w:rPr>
          <w:rFonts w:cs="Times New Roman"/>
          <w:color w:val="000000"/>
          <w:u w:val="single"/>
        </w:rPr>
        <w:t>S</w:t>
      </w:r>
      <w:r w:rsidRPr="005F1973">
        <w:rPr>
          <w:rFonts w:cs="Times New Roman"/>
          <w:color w:val="000000"/>
          <w:u w:val="single"/>
        </w:rPr>
        <w:t xml:space="preserve">ocial </w:t>
      </w:r>
      <w:r w:rsidR="00AC46AE">
        <w:rPr>
          <w:rFonts w:cs="Times New Roman"/>
          <w:color w:val="000000"/>
          <w:u w:val="single"/>
        </w:rPr>
        <w:t>S</w:t>
      </w:r>
      <w:r w:rsidRPr="005F1973">
        <w:rPr>
          <w:rFonts w:cs="Times New Roman"/>
          <w:color w:val="000000"/>
          <w:u w:val="single"/>
        </w:rPr>
        <w:t>tudy?</w:t>
      </w:r>
    </w:p>
    <w:p w14:paraId="482A5338" w14:textId="2C3F7666" w:rsidR="002B257C" w:rsidRDefault="002B257C" w:rsidP="00B9607A">
      <w:pPr>
        <w:tabs>
          <w:tab w:val="left" w:pos="220"/>
        </w:tabs>
        <w:autoSpaceDE w:val="0"/>
        <w:autoSpaceDN w:val="0"/>
        <w:adjustRightInd w:val="0"/>
        <w:spacing w:after="240" w:line="300" w:lineRule="atLeast"/>
        <w:ind w:left="1440"/>
        <w:rPr>
          <w:rFonts w:cs="Times New Roman"/>
          <w:color w:val="000000"/>
        </w:rPr>
      </w:pPr>
      <w:r w:rsidRPr="005F1973">
        <w:rPr>
          <w:rFonts w:cs="Times New Roman"/>
          <w:color w:val="000000"/>
        </w:rPr>
        <w:t xml:space="preserve">P.B. § 35a-9 does not explicitly provide that hearsay is permissible in the </w:t>
      </w:r>
      <w:r w:rsidR="00AC46AE">
        <w:rPr>
          <w:rFonts w:cs="Times New Roman"/>
          <w:color w:val="000000"/>
        </w:rPr>
        <w:t>S</w:t>
      </w:r>
      <w:r w:rsidRPr="005F1973">
        <w:rPr>
          <w:rFonts w:cs="Times New Roman"/>
          <w:color w:val="000000"/>
        </w:rPr>
        <w:t xml:space="preserve">ocial </w:t>
      </w:r>
      <w:r w:rsidR="00AC46AE">
        <w:rPr>
          <w:rFonts w:cs="Times New Roman"/>
          <w:color w:val="000000"/>
        </w:rPr>
        <w:t>S</w:t>
      </w:r>
      <w:r w:rsidRPr="005F1973">
        <w:rPr>
          <w:rFonts w:cs="Times New Roman"/>
          <w:color w:val="000000"/>
        </w:rPr>
        <w:t>tudy</w:t>
      </w:r>
      <w:r w:rsidR="00B9607A">
        <w:rPr>
          <w:rFonts w:cs="Times New Roman"/>
          <w:color w:val="000000"/>
        </w:rPr>
        <w:t>,</w:t>
      </w:r>
      <w:r w:rsidRPr="005F1973">
        <w:rPr>
          <w:rFonts w:cs="Times New Roman"/>
          <w:color w:val="000000"/>
        </w:rPr>
        <w:t xml:space="preserve"> and appellate case law provides that while the rules of evidence or proced</w:t>
      </w:r>
      <w:r w:rsidR="00AC46AE">
        <w:rPr>
          <w:rFonts w:cs="Times New Roman"/>
          <w:color w:val="000000"/>
        </w:rPr>
        <w:t>ure may be relaxed somewhat in Juvenile C</w:t>
      </w:r>
      <w:r w:rsidRPr="005F1973">
        <w:rPr>
          <w:rFonts w:cs="Times New Roman"/>
          <w:color w:val="000000"/>
        </w:rPr>
        <w:t>ourt, the court must stil</w:t>
      </w:r>
      <w:r w:rsidR="008E2169" w:rsidRPr="005F1973">
        <w:rPr>
          <w:rFonts w:cs="Times New Roman"/>
          <w:color w:val="000000"/>
        </w:rPr>
        <w:t>l</w:t>
      </w:r>
      <w:r w:rsidRPr="005F1973">
        <w:rPr>
          <w:rFonts w:cs="Times New Roman"/>
          <w:color w:val="000000"/>
        </w:rPr>
        <w:t xml:space="preserve"> observe the requirements of due process and where the “evidence is likely to be determinative of the matter, the court should return to the more formal rules of evidence.” </w:t>
      </w:r>
      <w:r w:rsidRPr="005F1973">
        <w:rPr>
          <w:rFonts w:cs="Times New Roman"/>
          <w:i/>
          <w:iCs/>
          <w:color w:val="000000"/>
        </w:rPr>
        <w:t>In re Juvenile Appeal</w:t>
      </w:r>
      <w:r w:rsidRPr="005F1973">
        <w:rPr>
          <w:rFonts w:cs="Times New Roman"/>
          <w:color w:val="000000"/>
        </w:rPr>
        <w:t xml:space="preserve">, 3 Conn. App. 184 (1986). Thus, you can argue to remove hearsay from the Social Study document prior to admitting. Remember, however, that the Practice Book permits the court to consider any evidence “relevant and material” to disposition. </w:t>
      </w:r>
      <w:r w:rsidRPr="00B9607A">
        <w:rPr>
          <w:rFonts w:cs="Times New Roman"/>
          <w:i/>
          <w:color w:val="000000"/>
        </w:rPr>
        <w:t>P.B. §35a-9</w:t>
      </w:r>
      <w:r w:rsidRPr="005F1973">
        <w:rPr>
          <w:rFonts w:cs="Times New Roman"/>
          <w:color w:val="000000"/>
        </w:rPr>
        <w:t xml:space="preserve">. Note that a court may admit a </w:t>
      </w:r>
      <w:r w:rsidR="00AC46AE">
        <w:rPr>
          <w:rFonts w:cs="Times New Roman"/>
          <w:color w:val="000000"/>
        </w:rPr>
        <w:t>Soc</w:t>
      </w:r>
      <w:r w:rsidRPr="005F1973">
        <w:rPr>
          <w:rFonts w:cs="Times New Roman"/>
          <w:color w:val="000000"/>
        </w:rPr>
        <w:t xml:space="preserve">ial </w:t>
      </w:r>
      <w:r w:rsidR="00AC46AE">
        <w:rPr>
          <w:rFonts w:cs="Times New Roman"/>
          <w:color w:val="000000"/>
        </w:rPr>
        <w:t>S</w:t>
      </w:r>
      <w:r w:rsidRPr="005F1973">
        <w:rPr>
          <w:rFonts w:cs="Times New Roman"/>
          <w:color w:val="000000"/>
        </w:rPr>
        <w:t xml:space="preserve">tudy under the “business record” exception to the hearsay rule. </w:t>
      </w:r>
      <w:r w:rsidRPr="005F1973">
        <w:rPr>
          <w:rFonts w:cs="Times New Roman"/>
          <w:i/>
          <w:iCs/>
          <w:color w:val="000000"/>
        </w:rPr>
        <w:t>In re Ellis V</w:t>
      </w:r>
      <w:r w:rsidRPr="005F1973">
        <w:rPr>
          <w:rFonts w:cs="Times New Roman"/>
          <w:color w:val="000000"/>
        </w:rPr>
        <w:t xml:space="preserve">. 120 Conn. App. 523 (2010). The business record foundation must be laid and the statements contained therein must emanate from those with a business duty to report. </w:t>
      </w:r>
    </w:p>
    <w:p w14:paraId="3606B53E" w14:textId="5DE24600" w:rsidR="00404C9D" w:rsidRPr="00404C9D" w:rsidRDefault="00404C9D" w:rsidP="00B9607A">
      <w:pPr>
        <w:tabs>
          <w:tab w:val="left" w:pos="220"/>
        </w:tabs>
        <w:autoSpaceDE w:val="0"/>
        <w:autoSpaceDN w:val="0"/>
        <w:adjustRightInd w:val="0"/>
        <w:spacing w:after="240" w:line="300" w:lineRule="atLeast"/>
        <w:ind w:left="1440"/>
        <w:rPr>
          <w:rFonts w:cs="Times New Roman"/>
          <w:color w:val="000000"/>
        </w:rPr>
      </w:pPr>
      <w:r>
        <w:rPr>
          <w:rFonts w:cs="Times New Roman"/>
          <w:color w:val="000000"/>
        </w:rPr>
        <w:t>While the Appellate Court has noted its “unequivocal disapproval” of a court’s practice of ado</w:t>
      </w:r>
      <w:r w:rsidR="00AC46AE">
        <w:rPr>
          <w:rFonts w:cs="Times New Roman"/>
          <w:color w:val="000000"/>
        </w:rPr>
        <w:t>pting verbatim portions of the Social S</w:t>
      </w:r>
      <w:r>
        <w:rPr>
          <w:rFonts w:cs="Times New Roman"/>
          <w:color w:val="000000"/>
        </w:rPr>
        <w:t xml:space="preserve">tudy in its decision, it has concluded that such a practice does not violate a parent’s right to due process.  </w:t>
      </w:r>
      <w:r>
        <w:rPr>
          <w:rFonts w:cs="Times New Roman"/>
          <w:i/>
          <w:color w:val="000000"/>
        </w:rPr>
        <w:t>In re Halle T.</w:t>
      </w:r>
      <w:r>
        <w:rPr>
          <w:rFonts w:cs="Times New Roman"/>
          <w:color w:val="000000"/>
        </w:rPr>
        <w:t>, 96 Conn. App. 815 (2006).</w:t>
      </w:r>
    </w:p>
    <w:p w14:paraId="1AC76B2E" w14:textId="42FF526A" w:rsidR="002B257C" w:rsidRPr="005F1973" w:rsidRDefault="002B257C" w:rsidP="00B9607A">
      <w:pPr>
        <w:numPr>
          <w:ilvl w:val="0"/>
          <w:numId w:val="5"/>
        </w:numPr>
        <w:tabs>
          <w:tab w:val="left" w:pos="220"/>
        </w:tabs>
        <w:autoSpaceDE w:val="0"/>
        <w:autoSpaceDN w:val="0"/>
        <w:adjustRightInd w:val="0"/>
        <w:spacing w:after="240" w:line="300" w:lineRule="atLeast"/>
        <w:rPr>
          <w:rFonts w:cs="Times New Roman"/>
          <w:color w:val="000000"/>
        </w:rPr>
      </w:pPr>
      <w:r w:rsidRPr="005F1973">
        <w:rPr>
          <w:rFonts w:cs="Times New Roman"/>
          <w:color w:val="000000"/>
        </w:rPr>
        <w:t xml:space="preserve">Additionally, although case law provides </w:t>
      </w:r>
      <w:r w:rsidR="00AC46AE">
        <w:rPr>
          <w:rFonts w:cs="Times New Roman"/>
          <w:color w:val="000000"/>
        </w:rPr>
        <w:t>that the court may rely on the Social S</w:t>
      </w:r>
      <w:r w:rsidRPr="005F1973">
        <w:rPr>
          <w:rFonts w:cs="Times New Roman"/>
          <w:color w:val="000000"/>
        </w:rPr>
        <w:t>tudy for both adjudicatory and dispositional purposes (</w:t>
      </w:r>
      <w:r w:rsidRPr="005F1973">
        <w:rPr>
          <w:rFonts w:cs="Times New Roman"/>
          <w:i/>
          <w:iCs/>
          <w:color w:val="000000"/>
        </w:rPr>
        <w:t>In re Tabitha</w:t>
      </w:r>
      <w:r w:rsidRPr="005F1973">
        <w:rPr>
          <w:rFonts w:cs="Times New Roman"/>
          <w:color w:val="000000"/>
        </w:rPr>
        <w:t>, 39 Conn. App. 353 (1995)</w:t>
      </w:r>
      <w:r w:rsidR="007328CF" w:rsidRPr="005F1973">
        <w:rPr>
          <w:rFonts w:cs="Times New Roman"/>
          <w:color w:val="000000"/>
        </w:rPr>
        <w:t xml:space="preserve">; </w:t>
      </w:r>
      <w:r w:rsidR="007328CF" w:rsidRPr="005F1973">
        <w:rPr>
          <w:rFonts w:cs="Times New Roman"/>
          <w:i/>
          <w:color w:val="000000"/>
        </w:rPr>
        <w:t>In re Anna Lee M.</w:t>
      </w:r>
      <w:r w:rsidR="007328CF" w:rsidRPr="005F1973">
        <w:rPr>
          <w:rFonts w:cs="Times New Roman"/>
          <w:color w:val="000000"/>
        </w:rPr>
        <w:t>, 104 Conn.App. 121 (2007</w:t>
      </w:r>
      <w:r w:rsidRPr="005F1973">
        <w:rPr>
          <w:rFonts w:cs="Times New Roman"/>
          <w:color w:val="000000"/>
        </w:rPr>
        <w:t>)</w:t>
      </w:r>
      <w:r w:rsidR="007328CF" w:rsidRPr="005F1973">
        <w:rPr>
          <w:rFonts w:cs="Times New Roman"/>
          <w:color w:val="000000"/>
        </w:rPr>
        <w:t>)</w:t>
      </w:r>
      <w:r w:rsidRPr="005F1973">
        <w:rPr>
          <w:rFonts w:cs="Times New Roman"/>
          <w:color w:val="000000"/>
        </w:rPr>
        <w:t xml:space="preserve">, if hearsay statements contained within the </w:t>
      </w:r>
      <w:r w:rsidR="00AC46AE">
        <w:rPr>
          <w:rFonts w:cs="Times New Roman"/>
          <w:color w:val="000000"/>
        </w:rPr>
        <w:t>Social S</w:t>
      </w:r>
      <w:r w:rsidRPr="005F1973">
        <w:rPr>
          <w:rFonts w:cs="Times New Roman"/>
          <w:color w:val="000000"/>
        </w:rPr>
        <w:t>tudy are admitted</w:t>
      </w:r>
      <w:r w:rsidR="00B9607A">
        <w:rPr>
          <w:rFonts w:cs="Times New Roman"/>
          <w:color w:val="000000"/>
        </w:rPr>
        <w:t>,</w:t>
      </w:r>
      <w:r w:rsidRPr="005F1973">
        <w:rPr>
          <w:rFonts w:cs="Times New Roman"/>
          <w:color w:val="000000"/>
        </w:rPr>
        <w:t xml:space="preserve"> you may ask the court to consider such statements for dispositional purposes only. </w:t>
      </w:r>
    </w:p>
    <w:p w14:paraId="1E74A990" w14:textId="4A2ED67C" w:rsidR="00FB0D2B" w:rsidRPr="005F1973" w:rsidRDefault="002B257C" w:rsidP="00B9607A">
      <w:pPr>
        <w:numPr>
          <w:ilvl w:val="0"/>
          <w:numId w:val="5"/>
        </w:numPr>
        <w:tabs>
          <w:tab w:val="left" w:pos="220"/>
        </w:tabs>
        <w:autoSpaceDE w:val="0"/>
        <w:autoSpaceDN w:val="0"/>
        <w:adjustRightInd w:val="0"/>
        <w:spacing w:after="240" w:line="300" w:lineRule="atLeast"/>
        <w:rPr>
          <w:rFonts w:cs="Times New Roman"/>
          <w:color w:val="000000"/>
        </w:rPr>
      </w:pPr>
      <w:r w:rsidRPr="005F1973">
        <w:rPr>
          <w:rFonts w:cs="Times New Roman"/>
          <w:color w:val="000000"/>
        </w:rPr>
        <w:t xml:space="preserve">Prepare a redacted version of the </w:t>
      </w:r>
      <w:r w:rsidR="00AC46AE">
        <w:rPr>
          <w:rFonts w:cs="Times New Roman"/>
          <w:color w:val="000000"/>
        </w:rPr>
        <w:t>S</w:t>
      </w:r>
      <w:r w:rsidRPr="005F1973">
        <w:rPr>
          <w:rFonts w:cs="Times New Roman"/>
          <w:color w:val="000000"/>
        </w:rPr>
        <w:t xml:space="preserve">ocial </w:t>
      </w:r>
      <w:r w:rsidR="00AC46AE">
        <w:rPr>
          <w:rFonts w:cs="Times New Roman"/>
          <w:color w:val="000000"/>
        </w:rPr>
        <w:t>S</w:t>
      </w:r>
      <w:r w:rsidRPr="005F1973">
        <w:rPr>
          <w:rFonts w:cs="Times New Roman"/>
          <w:color w:val="000000"/>
        </w:rPr>
        <w:t>tudy</w:t>
      </w:r>
      <w:r w:rsidR="00B9607A">
        <w:rPr>
          <w:rFonts w:cs="Times New Roman"/>
          <w:color w:val="000000"/>
        </w:rPr>
        <w:t>,</w:t>
      </w:r>
      <w:r w:rsidRPr="005F1973">
        <w:rPr>
          <w:rFonts w:cs="Times New Roman"/>
          <w:color w:val="000000"/>
        </w:rPr>
        <w:t xml:space="preserve"> or submit a motion </w:t>
      </w:r>
      <w:r w:rsidRPr="005F1973">
        <w:rPr>
          <w:rFonts w:cs="Times New Roman"/>
          <w:i/>
          <w:color w:val="000000"/>
        </w:rPr>
        <w:t>in limine</w:t>
      </w:r>
      <w:r w:rsidRPr="005F1973">
        <w:rPr>
          <w:rFonts w:cs="Times New Roman"/>
          <w:color w:val="000000"/>
        </w:rPr>
        <w:t xml:space="preserve"> seeking to strike irrelevant or hearsay statements from the document altogether.</w:t>
      </w:r>
    </w:p>
    <w:p w14:paraId="0CE22E80" w14:textId="77777777" w:rsidR="00AC46AE" w:rsidRDefault="00AC46AE" w:rsidP="00B9607A">
      <w:pPr>
        <w:autoSpaceDE w:val="0"/>
        <w:autoSpaceDN w:val="0"/>
        <w:adjustRightInd w:val="0"/>
        <w:spacing w:after="240" w:line="340" w:lineRule="atLeast"/>
        <w:ind w:left="720"/>
        <w:rPr>
          <w:rFonts w:cs="Times New Roman"/>
          <w:b/>
          <w:bCs/>
          <w:color w:val="000000"/>
        </w:rPr>
      </w:pPr>
    </w:p>
    <w:p w14:paraId="6E7A0088" w14:textId="1C874802" w:rsidR="002B257C" w:rsidRPr="005F1973" w:rsidRDefault="002B257C" w:rsidP="00B9607A">
      <w:pPr>
        <w:autoSpaceDE w:val="0"/>
        <w:autoSpaceDN w:val="0"/>
        <w:adjustRightInd w:val="0"/>
        <w:spacing w:after="240" w:line="340" w:lineRule="atLeast"/>
        <w:ind w:left="720"/>
        <w:rPr>
          <w:rFonts w:cs="Times New Roman"/>
          <w:color w:val="000000"/>
        </w:rPr>
      </w:pPr>
      <w:r w:rsidRPr="005F1973">
        <w:rPr>
          <w:rFonts w:cs="Times New Roman"/>
          <w:b/>
          <w:bCs/>
          <w:color w:val="000000"/>
        </w:rPr>
        <w:t xml:space="preserve">Child’s statement regarding abuse or neglect: </w:t>
      </w:r>
      <w:r w:rsidRPr="005F1973">
        <w:rPr>
          <w:rFonts w:cs="Times New Roman"/>
          <w:color w:val="000000"/>
        </w:rPr>
        <w:t xml:space="preserve">These statements are not the admission of a party opponent. </w:t>
      </w:r>
      <w:r w:rsidRPr="005F1973">
        <w:rPr>
          <w:rFonts w:cs="Times New Roman"/>
          <w:i/>
          <w:iCs/>
          <w:color w:val="000000"/>
        </w:rPr>
        <w:t>In re Jason S</w:t>
      </w:r>
      <w:r w:rsidR="00395E42" w:rsidRPr="005F1973">
        <w:rPr>
          <w:rFonts w:cs="Times New Roman"/>
          <w:color w:val="000000"/>
        </w:rPr>
        <w:t xml:space="preserve">., 9 Conn. App. 98 (1986); </w:t>
      </w:r>
      <w:r w:rsidR="00395E42" w:rsidRPr="005F1973">
        <w:rPr>
          <w:rFonts w:cs="Times New Roman"/>
          <w:i/>
          <w:color w:val="000000"/>
        </w:rPr>
        <w:t>accord In re Joshua E.</w:t>
      </w:r>
      <w:r w:rsidR="00395E42" w:rsidRPr="005F1973">
        <w:rPr>
          <w:rFonts w:cs="Times New Roman"/>
          <w:color w:val="000000"/>
        </w:rPr>
        <w:t>, 2001 WL 1132651 at *6, fn.2 (2001).</w:t>
      </w:r>
      <w:r w:rsidRPr="005F1973">
        <w:rPr>
          <w:rFonts w:cs="Times New Roman"/>
          <w:color w:val="000000"/>
        </w:rPr>
        <w:t xml:space="preserve"> However, possible hearsay exceptions may allow for admissibility, including (but not limited to): </w:t>
      </w:r>
    </w:p>
    <w:p w14:paraId="7798889B" w14:textId="3E47EBAD" w:rsidR="00FB0D2B" w:rsidRPr="005F1973" w:rsidRDefault="002B257C" w:rsidP="00FB0D2B">
      <w:pPr>
        <w:numPr>
          <w:ilvl w:val="0"/>
          <w:numId w:val="6"/>
        </w:numPr>
        <w:tabs>
          <w:tab w:val="left" w:pos="220"/>
          <w:tab w:val="left" w:pos="720"/>
        </w:tabs>
        <w:autoSpaceDE w:val="0"/>
        <w:autoSpaceDN w:val="0"/>
        <w:adjustRightInd w:val="0"/>
        <w:spacing w:after="240" w:line="300" w:lineRule="atLeast"/>
        <w:ind w:hanging="720"/>
        <w:rPr>
          <w:rFonts w:cs="Times New Roman"/>
          <w:color w:val="000000"/>
        </w:rPr>
      </w:pPr>
      <w:r w:rsidRPr="005F1973">
        <w:rPr>
          <w:rFonts w:cs="Times New Roman"/>
          <w:color w:val="000000"/>
        </w:rPr>
        <w:lastRenderedPageBreak/>
        <w:t>Statement made fo</w:t>
      </w:r>
      <w:r w:rsidR="00F25241" w:rsidRPr="005F1973">
        <w:rPr>
          <w:rFonts w:cs="Times New Roman"/>
          <w:color w:val="000000"/>
        </w:rPr>
        <w:t xml:space="preserve">r purposes of medical treatment. </w:t>
      </w:r>
      <w:r w:rsidR="00F25241" w:rsidRPr="005F1973">
        <w:rPr>
          <w:rFonts w:cs="Times New Roman"/>
          <w:i/>
          <w:color w:val="000000"/>
        </w:rPr>
        <w:t>See</w:t>
      </w:r>
      <w:r w:rsidRPr="005F1973">
        <w:rPr>
          <w:rFonts w:cs="Times New Roman"/>
          <w:color w:val="000000"/>
        </w:rPr>
        <w:t xml:space="preserve"> </w:t>
      </w:r>
      <w:r w:rsidRPr="005F1973">
        <w:rPr>
          <w:rFonts w:cs="Times New Roman"/>
          <w:i/>
          <w:iCs/>
          <w:color w:val="000000"/>
        </w:rPr>
        <w:t xml:space="preserve">State v. </w:t>
      </w:r>
      <w:r w:rsidR="00F25241" w:rsidRPr="005F1973">
        <w:rPr>
          <w:rFonts w:cs="Times New Roman"/>
          <w:i/>
          <w:iCs/>
          <w:color w:val="000000"/>
        </w:rPr>
        <w:t>Kelly</w:t>
      </w:r>
      <w:r w:rsidR="00F25241" w:rsidRPr="005F1973">
        <w:rPr>
          <w:rFonts w:cs="Times New Roman"/>
          <w:color w:val="000000"/>
        </w:rPr>
        <w:t>, 256 Conn. 23 (2001</w:t>
      </w:r>
      <w:r w:rsidRPr="005F1973">
        <w:rPr>
          <w:rFonts w:cs="Times New Roman"/>
          <w:color w:val="000000"/>
        </w:rPr>
        <w:t>); Conn. Evid. Code §</w:t>
      </w:r>
      <w:r w:rsidR="009F58D9" w:rsidRPr="005F1973">
        <w:rPr>
          <w:rFonts w:cs="Times New Roman"/>
          <w:color w:val="000000"/>
        </w:rPr>
        <w:t xml:space="preserve"> </w:t>
      </w:r>
      <w:r w:rsidRPr="005F1973">
        <w:rPr>
          <w:rFonts w:cs="Times New Roman"/>
          <w:color w:val="000000"/>
        </w:rPr>
        <w:t xml:space="preserve">8-3(5). </w:t>
      </w:r>
    </w:p>
    <w:p w14:paraId="38FBE049" w14:textId="5584777F" w:rsidR="002B257C" w:rsidRPr="005F1973" w:rsidRDefault="002B257C" w:rsidP="002B257C">
      <w:pPr>
        <w:numPr>
          <w:ilvl w:val="0"/>
          <w:numId w:val="6"/>
        </w:numPr>
        <w:tabs>
          <w:tab w:val="left" w:pos="220"/>
          <w:tab w:val="left" w:pos="720"/>
        </w:tabs>
        <w:autoSpaceDE w:val="0"/>
        <w:autoSpaceDN w:val="0"/>
        <w:adjustRightInd w:val="0"/>
        <w:spacing w:after="240" w:line="300" w:lineRule="atLeast"/>
        <w:ind w:hanging="720"/>
        <w:rPr>
          <w:rFonts w:cs="Times New Roman"/>
          <w:color w:val="000000"/>
        </w:rPr>
      </w:pPr>
      <w:r w:rsidRPr="005F1973">
        <w:rPr>
          <w:rFonts w:cs="Times New Roman"/>
          <w:color w:val="000000"/>
        </w:rPr>
        <w:t xml:space="preserve">Spontaneous utterance. </w:t>
      </w:r>
      <w:r w:rsidR="00F25241" w:rsidRPr="005F1973">
        <w:rPr>
          <w:rFonts w:cs="Times New Roman"/>
          <w:i/>
          <w:color w:val="000000"/>
        </w:rPr>
        <w:t>See</w:t>
      </w:r>
      <w:r w:rsidR="00F25241" w:rsidRPr="005F1973">
        <w:rPr>
          <w:rFonts w:cs="Times New Roman"/>
          <w:color w:val="000000"/>
        </w:rPr>
        <w:t xml:space="preserve"> </w:t>
      </w:r>
      <w:r w:rsidRPr="005F1973">
        <w:rPr>
          <w:rFonts w:cs="Times New Roman"/>
          <w:color w:val="000000"/>
        </w:rPr>
        <w:t>Conn. Evid. Code §</w:t>
      </w:r>
      <w:r w:rsidR="009F58D9" w:rsidRPr="005F1973">
        <w:rPr>
          <w:rFonts w:cs="Times New Roman"/>
          <w:color w:val="000000"/>
        </w:rPr>
        <w:t xml:space="preserve"> </w:t>
      </w:r>
      <w:r w:rsidR="001B5B31">
        <w:rPr>
          <w:rFonts w:cs="Times New Roman"/>
          <w:color w:val="000000"/>
        </w:rPr>
        <w:t>8-3(2).</w:t>
      </w:r>
    </w:p>
    <w:p w14:paraId="31D82CAF" w14:textId="6E76E514" w:rsidR="002B257C" w:rsidRPr="005F1973" w:rsidRDefault="009F58D9" w:rsidP="002B257C">
      <w:pPr>
        <w:numPr>
          <w:ilvl w:val="0"/>
          <w:numId w:val="6"/>
        </w:numPr>
        <w:tabs>
          <w:tab w:val="left" w:pos="220"/>
          <w:tab w:val="left" w:pos="720"/>
        </w:tabs>
        <w:autoSpaceDE w:val="0"/>
        <w:autoSpaceDN w:val="0"/>
        <w:adjustRightInd w:val="0"/>
        <w:spacing w:after="240" w:line="300" w:lineRule="atLeast"/>
        <w:ind w:hanging="720"/>
        <w:rPr>
          <w:rFonts w:cs="Times New Roman"/>
          <w:color w:val="000000"/>
        </w:rPr>
      </w:pPr>
      <w:r w:rsidRPr="005F1973">
        <w:rPr>
          <w:rFonts w:cs="Times New Roman"/>
          <w:color w:val="000000"/>
        </w:rPr>
        <w:t>Statement showing declarant’s existing physical condition</w:t>
      </w:r>
      <w:r w:rsidR="002B257C" w:rsidRPr="005F1973">
        <w:rPr>
          <w:rFonts w:cs="Times New Roman"/>
          <w:color w:val="000000"/>
        </w:rPr>
        <w:t xml:space="preserve">. </w:t>
      </w:r>
      <w:r w:rsidR="00F25241" w:rsidRPr="005F1973">
        <w:rPr>
          <w:rFonts w:cs="Times New Roman"/>
          <w:i/>
          <w:color w:val="000000"/>
        </w:rPr>
        <w:t>See</w:t>
      </w:r>
      <w:r w:rsidR="00F25241" w:rsidRPr="005F1973">
        <w:rPr>
          <w:rFonts w:cs="Times New Roman"/>
          <w:color w:val="000000"/>
        </w:rPr>
        <w:t xml:space="preserve"> </w:t>
      </w:r>
      <w:r w:rsidRPr="005F1973">
        <w:rPr>
          <w:rFonts w:cs="Times New Roman"/>
          <w:color w:val="000000"/>
        </w:rPr>
        <w:t>Conn. Evid. Code § 8-3(3</w:t>
      </w:r>
      <w:r w:rsidR="002B257C" w:rsidRPr="005F1973">
        <w:rPr>
          <w:rFonts w:cs="Times New Roman"/>
          <w:color w:val="000000"/>
        </w:rPr>
        <w:t xml:space="preserve">). </w:t>
      </w:r>
    </w:p>
    <w:p w14:paraId="4D36F916" w14:textId="0C6E6B2E" w:rsidR="002B257C" w:rsidRPr="005F1973" w:rsidRDefault="002B257C" w:rsidP="002B257C">
      <w:pPr>
        <w:numPr>
          <w:ilvl w:val="0"/>
          <w:numId w:val="6"/>
        </w:numPr>
        <w:tabs>
          <w:tab w:val="left" w:pos="220"/>
          <w:tab w:val="left" w:pos="720"/>
        </w:tabs>
        <w:autoSpaceDE w:val="0"/>
        <w:autoSpaceDN w:val="0"/>
        <w:adjustRightInd w:val="0"/>
        <w:spacing w:after="240" w:line="300" w:lineRule="atLeast"/>
        <w:ind w:hanging="720"/>
        <w:rPr>
          <w:rFonts w:cs="Times New Roman"/>
          <w:color w:val="000000"/>
        </w:rPr>
      </w:pPr>
      <w:r w:rsidRPr="005F1973">
        <w:rPr>
          <w:rFonts w:cs="Times New Roman"/>
          <w:color w:val="000000"/>
        </w:rPr>
        <w:t>Statement sh</w:t>
      </w:r>
      <w:r w:rsidR="00F25241" w:rsidRPr="005F1973">
        <w:rPr>
          <w:rFonts w:cs="Times New Roman"/>
          <w:color w:val="000000"/>
        </w:rPr>
        <w:t>owing declarant’s state of mind</w:t>
      </w:r>
      <w:r w:rsidRPr="005F1973">
        <w:rPr>
          <w:rFonts w:cs="Times New Roman"/>
          <w:color w:val="000000"/>
        </w:rPr>
        <w:t>.</w:t>
      </w:r>
      <w:r w:rsidR="009F58D9" w:rsidRPr="005F1973">
        <w:rPr>
          <w:rFonts w:cs="Times New Roman"/>
          <w:color w:val="000000"/>
        </w:rPr>
        <w:t xml:space="preserve"> </w:t>
      </w:r>
      <w:r w:rsidR="009F58D9" w:rsidRPr="005F1973">
        <w:rPr>
          <w:rFonts w:cs="Times New Roman"/>
          <w:i/>
          <w:color w:val="000000"/>
        </w:rPr>
        <w:t>See</w:t>
      </w:r>
      <w:r w:rsidR="009F58D9" w:rsidRPr="005F1973">
        <w:rPr>
          <w:rFonts w:cs="Times New Roman"/>
          <w:color w:val="000000"/>
        </w:rPr>
        <w:t xml:space="preserve"> Conn. Evid. Code § 8-3(4).</w:t>
      </w:r>
    </w:p>
    <w:p w14:paraId="50FE8DB8" w14:textId="6EC2F8EF" w:rsidR="002B257C" w:rsidRPr="005F1973" w:rsidRDefault="002B257C" w:rsidP="002B257C">
      <w:pPr>
        <w:numPr>
          <w:ilvl w:val="0"/>
          <w:numId w:val="6"/>
        </w:numPr>
        <w:tabs>
          <w:tab w:val="left" w:pos="220"/>
          <w:tab w:val="left" w:pos="720"/>
        </w:tabs>
        <w:autoSpaceDE w:val="0"/>
        <w:autoSpaceDN w:val="0"/>
        <w:adjustRightInd w:val="0"/>
        <w:spacing w:after="240" w:line="300" w:lineRule="atLeast"/>
        <w:ind w:hanging="720"/>
        <w:rPr>
          <w:rFonts w:cs="Times New Roman"/>
          <w:color w:val="000000"/>
        </w:rPr>
      </w:pPr>
      <w:r w:rsidRPr="005F1973">
        <w:rPr>
          <w:rFonts w:cs="Times New Roman"/>
          <w:color w:val="000000"/>
        </w:rPr>
        <w:t xml:space="preserve">Statement showing effect on the hearer. </w:t>
      </w:r>
      <w:r w:rsidR="00F25241" w:rsidRPr="005F1973">
        <w:rPr>
          <w:rFonts w:cs="Times New Roman"/>
          <w:i/>
          <w:color w:val="000000"/>
        </w:rPr>
        <w:t>See</w:t>
      </w:r>
      <w:r w:rsidR="00F25241" w:rsidRPr="005F1973">
        <w:rPr>
          <w:rFonts w:cs="Times New Roman"/>
          <w:color w:val="000000"/>
        </w:rPr>
        <w:t xml:space="preserve"> </w:t>
      </w:r>
      <w:r w:rsidRPr="005F1973">
        <w:rPr>
          <w:rFonts w:cs="Times New Roman"/>
          <w:i/>
          <w:iCs/>
          <w:color w:val="000000"/>
        </w:rPr>
        <w:t xml:space="preserve">State v. </w:t>
      </w:r>
      <w:r w:rsidR="005F0E58" w:rsidRPr="005F1973">
        <w:rPr>
          <w:rFonts w:cs="Times New Roman"/>
          <w:i/>
          <w:iCs/>
          <w:color w:val="000000"/>
        </w:rPr>
        <w:t>Patterson</w:t>
      </w:r>
      <w:r w:rsidR="005F0E58" w:rsidRPr="005F1973">
        <w:rPr>
          <w:rFonts w:cs="Times New Roman"/>
          <w:color w:val="000000"/>
        </w:rPr>
        <w:t>, 276 Conn. 452 (20</w:t>
      </w:r>
      <w:r w:rsidR="00CA0BBD" w:rsidRPr="005F1973">
        <w:rPr>
          <w:rFonts w:cs="Times New Roman"/>
          <w:color w:val="000000"/>
        </w:rPr>
        <w:t>05</w:t>
      </w:r>
      <w:r w:rsidR="007F28E0" w:rsidRPr="005F1973">
        <w:rPr>
          <w:rFonts w:cs="Times New Roman"/>
          <w:color w:val="000000"/>
        </w:rPr>
        <w:t>)</w:t>
      </w:r>
      <w:r w:rsidRPr="005F1973">
        <w:rPr>
          <w:rFonts w:cs="Times New Roman"/>
          <w:color w:val="000000"/>
        </w:rPr>
        <w:t xml:space="preserve">. </w:t>
      </w:r>
    </w:p>
    <w:p w14:paraId="508FA5AF" w14:textId="19FE6DBD" w:rsidR="002B257C" w:rsidRPr="005F1973" w:rsidRDefault="002B257C" w:rsidP="002B257C">
      <w:pPr>
        <w:numPr>
          <w:ilvl w:val="0"/>
          <w:numId w:val="6"/>
        </w:numPr>
        <w:tabs>
          <w:tab w:val="left" w:pos="220"/>
          <w:tab w:val="left" w:pos="720"/>
        </w:tabs>
        <w:autoSpaceDE w:val="0"/>
        <w:autoSpaceDN w:val="0"/>
        <w:adjustRightInd w:val="0"/>
        <w:spacing w:after="240" w:line="300" w:lineRule="atLeast"/>
        <w:ind w:hanging="720"/>
        <w:rPr>
          <w:rFonts w:cs="Times New Roman"/>
          <w:color w:val="000000"/>
        </w:rPr>
      </w:pPr>
      <w:r w:rsidRPr="005F1973">
        <w:rPr>
          <w:rFonts w:cs="Times New Roman"/>
          <w:color w:val="000000"/>
        </w:rPr>
        <w:t>Child’s statement to mandated reporter may come in during a contested OTC hearing</w:t>
      </w:r>
      <w:r w:rsidR="00E964F2">
        <w:rPr>
          <w:rFonts w:cs="Times New Roman"/>
          <w:color w:val="000000"/>
        </w:rPr>
        <w:t>,</w:t>
      </w:r>
      <w:r w:rsidRPr="005F1973">
        <w:rPr>
          <w:rFonts w:cs="Times New Roman"/>
          <w:color w:val="000000"/>
        </w:rPr>
        <w:t xml:space="preserve"> per provisions of C.G.S. § 46b-129(g). This exception applies only to OTC hearings. In a neglect trial or termination trial, the affiant must be present or the opponent of the statement must object on </w:t>
      </w:r>
      <w:r w:rsidR="002E39EE" w:rsidRPr="005F1973">
        <w:rPr>
          <w:rFonts w:cs="Times New Roman"/>
          <w:color w:val="000000"/>
        </w:rPr>
        <w:t xml:space="preserve">the basis of </w:t>
      </w:r>
      <w:r w:rsidRPr="005F1973">
        <w:rPr>
          <w:rFonts w:cs="Times New Roman"/>
          <w:color w:val="000000"/>
        </w:rPr>
        <w:t xml:space="preserve">hearsay and deprivation of </w:t>
      </w:r>
      <w:r w:rsidR="002E39EE" w:rsidRPr="005F1973">
        <w:rPr>
          <w:rFonts w:cs="Times New Roman"/>
          <w:color w:val="000000"/>
        </w:rPr>
        <w:t xml:space="preserve">the </w:t>
      </w:r>
      <w:r w:rsidRPr="005F1973">
        <w:rPr>
          <w:rFonts w:cs="Times New Roman"/>
          <w:color w:val="000000"/>
        </w:rPr>
        <w:t xml:space="preserve">right to confront witnesses. </w:t>
      </w:r>
    </w:p>
    <w:p w14:paraId="31D3FC3F" w14:textId="3292B828" w:rsidR="002B257C" w:rsidRPr="005F1973" w:rsidRDefault="002B257C" w:rsidP="002B257C">
      <w:pPr>
        <w:numPr>
          <w:ilvl w:val="0"/>
          <w:numId w:val="6"/>
        </w:numPr>
        <w:tabs>
          <w:tab w:val="left" w:pos="220"/>
          <w:tab w:val="left" w:pos="720"/>
        </w:tabs>
        <w:autoSpaceDE w:val="0"/>
        <w:autoSpaceDN w:val="0"/>
        <w:adjustRightInd w:val="0"/>
        <w:spacing w:after="240" w:line="300" w:lineRule="atLeast"/>
        <w:ind w:hanging="720"/>
        <w:rPr>
          <w:rFonts w:cs="Times New Roman"/>
          <w:color w:val="000000"/>
        </w:rPr>
      </w:pPr>
      <w:r w:rsidRPr="005F1973">
        <w:rPr>
          <w:rFonts w:cs="Times New Roman"/>
          <w:color w:val="000000"/>
        </w:rPr>
        <w:t xml:space="preserve">The </w:t>
      </w:r>
      <w:r w:rsidR="00404C9D">
        <w:rPr>
          <w:rFonts w:cs="Times New Roman"/>
          <w:color w:val="000000"/>
        </w:rPr>
        <w:t>Appellate C</w:t>
      </w:r>
      <w:r w:rsidRPr="005F1973">
        <w:rPr>
          <w:rFonts w:cs="Times New Roman"/>
          <w:color w:val="000000"/>
        </w:rPr>
        <w:t xml:space="preserve">ourt held that child’s statement that he wanted to “make love” to his sister was admissible as a “verbal act.” </w:t>
      </w:r>
      <w:r w:rsidRPr="005F1973">
        <w:rPr>
          <w:rFonts w:cs="Times New Roman"/>
          <w:i/>
          <w:iCs/>
          <w:color w:val="000000"/>
        </w:rPr>
        <w:t xml:space="preserve">In re Juvenile Appeal (85-2), </w:t>
      </w:r>
      <w:r w:rsidR="002E39EE" w:rsidRPr="005F1973">
        <w:rPr>
          <w:rFonts w:cs="Times New Roman"/>
          <w:color w:val="000000"/>
        </w:rPr>
        <w:t xml:space="preserve">3 Conn. App. 184 (1985); </w:t>
      </w:r>
      <w:r w:rsidR="002E39EE" w:rsidRPr="005F1973">
        <w:rPr>
          <w:rFonts w:cs="Times New Roman"/>
          <w:i/>
          <w:color w:val="000000"/>
        </w:rPr>
        <w:t>see also In re Paulina R.</w:t>
      </w:r>
      <w:r w:rsidR="002E39EE" w:rsidRPr="005F1973">
        <w:rPr>
          <w:rFonts w:cs="Times New Roman"/>
          <w:color w:val="000000"/>
        </w:rPr>
        <w:t>, 2008 WL 806643 (2008)</w:t>
      </w:r>
      <w:r w:rsidRPr="005F1973">
        <w:rPr>
          <w:rFonts w:cs="Times New Roman"/>
          <w:color w:val="000000"/>
        </w:rPr>
        <w:t xml:space="preserve">. </w:t>
      </w:r>
    </w:p>
    <w:p w14:paraId="2C80D647" w14:textId="6B2A2DCF" w:rsidR="002B257C" w:rsidRPr="005F1973" w:rsidRDefault="002B257C" w:rsidP="002B257C">
      <w:pPr>
        <w:numPr>
          <w:ilvl w:val="0"/>
          <w:numId w:val="6"/>
        </w:numPr>
        <w:tabs>
          <w:tab w:val="left" w:pos="220"/>
          <w:tab w:val="left" w:pos="720"/>
        </w:tabs>
        <w:autoSpaceDE w:val="0"/>
        <w:autoSpaceDN w:val="0"/>
        <w:adjustRightInd w:val="0"/>
        <w:spacing w:after="240" w:line="300" w:lineRule="atLeast"/>
        <w:ind w:hanging="720"/>
        <w:rPr>
          <w:rFonts w:cs="Times New Roman"/>
          <w:color w:val="000000"/>
        </w:rPr>
      </w:pPr>
      <w:r w:rsidRPr="005F1973">
        <w:rPr>
          <w:rFonts w:cs="Times New Roman"/>
          <w:color w:val="000000"/>
        </w:rPr>
        <w:t xml:space="preserve">Statements made regarding abuse by a child younger than age 12 are subject to the “tender years” exception rules and procedures. </w:t>
      </w:r>
      <w:r w:rsidRPr="00E964F2">
        <w:rPr>
          <w:rFonts w:cs="Times New Roman"/>
          <w:i/>
          <w:color w:val="000000"/>
        </w:rPr>
        <w:t>Conn. Evid. Code §</w:t>
      </w:r>
      <w:r w:rsidR="009F58D9" w:rsidRPr="00E964F2">
        <w:rPr>
          <w:rFonts w:cs="Times New Roman"/>
          <w:i/>
          <w:color w:val="000000"/>
        </w:rPr>
        <w:t xml:space="preserve"> </w:t>
      </w:r>
      <w:r w:rsidRPr="00E964F2">
        <w:rPr>
          <w:rFonts w:cs="Times New Roman"/>
          <w:i/>
          <w:color w:val="000000"/>
        </w:rPr>
        <w:t>8-10</w:t>
      </w:r>
      <w:r w:rsidRPr="005F1973">
        <w:rPr>
          <w:rFonts w:cs="Times New Roman"/>
          <w:color w:val="000000"/>
        </w:rPr>
        <w:t xml:space="preserve">. </w:t>
      </w:r>
      <w:r w:rsidR="00E964F2">
        <w:rPr>
          <w:rFonts w:cs="Times New Roman"/>
          <w:color w:val="000000"/>
        </w:rPr>
        <w:t xml:space="preserve"> </w:t>
      </w:r>
      <w:r w:rsidRPr="005F1973">
        <w:rPr>
          <w:rFonts w:cs="Times New Roman"/>
          <w:color w:val="000000"/>
        </w:rPr>
        <w:t xml:space="preserve">These statements may be admissible through a third party if certain conditions regarding the reliability of the statements are met. </w:t>
      </w:r>
      <w:r w:rsidR="00E964F2">
        <w:rPr>
          <w:rFonts w:cs="Times New Roman"/>
          <w:color w:val="000000"/>
        </w:rPr>
        <w:t xml:space="preserve"> </w:t>
      </w:r>
      <w:r w:rsidRPr="005F1973">
        <w:rPr>
          <w:rFonts w:cs="Times New Roman"/>
          <w:color w:val="000000"/>
        </w:rPr>
        <w:t xml:space="preserve">Statements that are subject to the “tender years” rule but that do not meet the rule’s criteria for admissibility may not be admitted through the “residual hearsay” exception. </w:t>
      </w:r>
      <w:r w:rsidRPr="00E964F2">
        <w:rPr>
          <w:rFonts w:cs="Times New Roman"/>
          <w:i/>
          <w:color w:val="000000"/>
        </w:rPr>
        <w:t>Id</w:t>
      </w:r>
      <w:r w:rsidRPr="005F1973">
        <w:rPr>
          <w:rFonts w:cs="Times New Roman"/>
          <w:color w:val="000000"/>
        </w:rPr>
        <w:t xml:space="preserve">. </w:t>
      </w:r>
    </w:p>
    <w:p w14:paraId="03DA4901" w14:textId="7B7E22DA" w:rsidR="00E964F2" w:rsidRPr="00404C9D" w:rsidRDefault="002B257C" w:rsidP="00CC65B4">
      <w:pPr>
        <w:numPr>
          <w:ilvl w:val="0"/>
          <w:numId w:val="6"/>
        </w:numPr>
        <w:tabs>
          <w:tab w:val="left" w:pos="220"/>
          <w:tab w:val="left" w:pos="720"/>
        </w:tabs>
        <w:autoSpaceDE w:val="0"/>
        <w:autoSpaceDN w:val="0"/>
        <w:adjustRightInd w:val="0"/>
        <w:spacing w:after="240" w:line="300" w:lineRule="atLeast"/>
        <w:ind w:hanging="720"/>
        <w:rPr>
          <w:rFonts w:cs="Times New Roman"/>
          <w:b/>
          <w:bCs/>
          <w:color w:val="000000"/>
        </w:rPr>
      </w:pPr>
      <w:r w:rsidRPr="00404C9D">
        <w:rPr>
          <w:rFonts w:cs="Times New Roman"/>
          <w:color w:val="000000"/>
        </w:rPr>
        <w:t xml:space="preserve">A child’s statements not subject to the “tender years” rule may be admitted through the “residual hearsay” exception. </w:t>
      </w:r>
      <w:r w:rsidRPr="00404C9D">
        <w:rPr>
          <w:rFonts w:cs="Times New Roman"/>
          <w:i/>
          <w:iCs/>
          <w:color w:val="000000"/>
        </w:rPr>
        <w:t>In re Tayler F</w:t>
      </w:r>
      <w:r w:rsidRPr="00404C9D">
        <w:rPr>
          <w:rFonts w:cs="Times New Roman"/>
          <w:color w:val="000000"/>
        </w:rPr>
        <w:t>., 296 Conn. 524 (2010)</w:t>
      </w:r>
      <w:r w:rsidR="00CF0893" w:rsidRPr="00404C9D">
        <w:rPr>
          <w:rFonts w:cs="Times New Roman"/>
          <w:color w:val="000000"/>
        </w:rPr>
        <w:t xml:space="preserve">; </w:t>
      </w:r>
      <w:r w:rsidR="00CF0893" w:rsidRPr="00404C9D">
        <w:rPr>
          <w:rFonts w:cs="Times New Roman"/>
          <w:i/>
          <w:color w:val="000000"/>
        </w:rPr>
        <w:t>see also</w:t>
      </w:r>
      <w:r w:rsidR="00CF0893" w:rsidRPr="00404C9D">
        <w:rPr>
          <w:rFonts w:cs="Times New Roman"/>
          <w:color w:val="000000"/>
        </w:rPr>
        <w:t xml:space="preserve"> </w:t>
      </w:r>
      <w:r w:rsidR="00CF0893" w:rsidRPr="00404C9D">
        <w:rPr>
          <w:rFonts w:cs="Times New Roman"/>
          <w:i/>
          <w:iCs/>
          <w:color w:val="000000"/>
        </w:rPr>
        <w:t>State v. Bennett</w:t>
      </w:r>
      <w:r w:rsidR="00CF0893" w:rsidRPr="00404C9D">
        <w:rPr>
          <w:rFonts w:cs="Times New Roman"/>
          <w:color w:val="000000"/>
        </w:rPr>
        <w:t>, 324 Conn. 744 (2017)</w:t>
      </w:r>
      <w:r w:rsidRPr="00404C9D">
        <w:rPr>
          <w:rFonts w:cs="Times New Roman"/>
          <w:color w:val="000000"/>
        </w:rPr>
        <w:t xml:space="preserve">. </w:t>
      </w:r>
      <w:r w:rsidRPr="00404C9D">
        <w:rPr>
          <w:rFonts w:cs="Times New Roman"/>
          <w:i/>
          <w:iCs/>
          <w:color w:val="000000"/>
        </w:rPr>
        <w:t>Tayler F</w:t>
      </w:r>
      <w:r w:rsidRPr="00404C9D">
        <w:rPr>
          <w:rFonts w:cs="Times New Roman"/>
          <w:color w:val="000000"/>
        </w:rPr>
        <w:t xml:space="preserve">. provides a detailed discussion of what must be demonstrated to invoke the “residual hearsay” exception in such cases. </w:t>
      </w:r>
      <w:r w:rsidR="005004F0" w:rsidRPr="00404C9D">
        <w:rPr>
          <w:rFonts w:cs="Times New Roman"/>
          <w:color w:val="000000"/>
        </w:rPr>
        <w:br/>
      </w:r>
    </w:p>
    <w:p w14:paraId="564E2F8B" w14:textId="4DD1C75E" w:rsidR="00FD4C50" w:rsidRPr="005F1973" w:rsidRDefault="002B257C" w:rsidP="00B71472">
      <w:pPr>
        <w:tabs>
          <w:tab w:val="left" w:pos="220"/>
          <w:tab w:val="left" w:pos="720"/>
        </w:tabs>
        <w:autoSpaceDE w:val="0"/>
        <w:autoSpaceDN w:val="0"/>
        <w:adjustRightInd w:val="0"/>
        <w:spacing w:after="240" w:line="300" w:lineRule="atLeast"/>
        <w:rPr>
          <w:rFonts w:eastAsia="MS Mincho" w:cs="Times New Roman"/>
          <w:color w:val="000000"/>
        </w:rPr>
      </w:pPr>
      <w:r w:rsidRPr="005F1973">
        <w:rPr>
          <w:rFonts w:cs="Times New Roman"/>
          <w:b/>
          <w:bCs/>
          <w:color w:val="000000"/>
        </w:rPr>
        <w:t xml:space="preserve">JUDICIAL NOTICE </w:t>
      </w:r>
    </w:p>
    <w:p w14:paraId="1B8F4F96" w14:textId="3CCA17EB" w:rsidR="00B71472" w:rsidRPr="005F1973" w:rsidRDefault="002B257C" w:rsidP="00B71472">
      <w:pPr>
        <w:tabs>
          <w:tab w:val="left" w:pos="220"/>
          <w:tab w:val="left" w:pos="720"/>
        </w:tabs>
        <w:autoSpaceDE w:val="0"/>
        <w:autoSpaceDN w:val="0"/>
        <w:adjustRightInd w:val="0"/>
        <w:spacing w:after="240" w:line="300" w:lineRule="atLeast"/>
        <w:rPr>
          <w:rFonts w:eastAsia="MS Mincho" w:cs="Times New Roman"/>
          <w:b/>
          <w:bCs/>
          <w:color w:val="000000"/>
        </w:rPr>
      </w:pPr>
      <w:r w:rsidRPr="005F1973">
        <w:rPr>
          <w:rFonts w:cs="Times New Roman"/>
          <w:b/>
          <w:bCs/>
          <w:color w:val="000000"/>
        </w:rPr>
        <w:t>What does it mean for the court to take “judicial notice” of information during a trial?</w:t>
      </w:r>
    </w:p>
    <w:p w14:paraId="055D4514" w14:textId="6109BAB5" w:rsidR="00B71472" w:rsidRPr="005F1973" w:rsidRDefault="002B257C" w:rsidP="00B71472">
      <w:pPr>
        <w:tabs>
          <w:tab w:val="left" w:pos="220"/>
          <w:tab w:val="left" w:pos="720"/>
        </w:tabs>
        <w:autoSpaceDE w:val="0"/>
        <w:autoSpaceDN w:val="0"/>
        <w:adjustRightInd w:val="0"/>
        <w:spacing w:after="240" w:line="300" w:lineRule="atLeast"/>
        <w:rPr>
          <w:rFonts w:cs="Times New Roman"/>
          <w:color w:val="000000"/>
        </w:rPr>
      </w:pPr>
      <w:r w:rsidRPr="005F1973">
        <w:rPr>
          <w:rFonts w:cs="Times New Roman"/>
          <w:color w:val="000000"/>
        </w:rPr>
        <w:t>Connecticut Code of Evidence § 2-1(c) provides that a judicially noticed fact “must be one not subject to reasonable dispute</w:t>
      </w:r>
      <w:r w:rsidR="00E964F2">
        <w:rPr>
          <w:rFonts w:cs="Times New Roman"/>
          <w:color w:val="000000"/>
        </w:rPr>
        <w:t>,</w:t>
      </w:r>
      <w:r w:rsidRPr="005F1973">
        <w:rPr>
          <w:rFonts w:cs="Times New Roman"/>
          <w:color w:val="000000"/>
        </w:rPr>
        <w:t xml:space="preserve"> in that it is either: </w:t>
      </w:r>
    </w:p>
    <w:p w14:paraId="683FECFC" w14:textId="0F9C808A" w:rsidR="009F58D9" w:rsidRPr="005F1973" w:rsidRDefault="002B257C" w:rsidP="009F58D9">
      <w:pPr>
        <w:pStyle w:val="ListParagraph"/>
        <w:numPr>
          <w:ilvl w:val="1"/>
          <w:numId w:val="6"/>
        </w:numPr>
        <w:tabs>
          <w:tab w:val="left" w:pos="220"/>
        </w:tabs>
        <w:autoSpaceDE w:val="0"/>
        <w:autoSpaceDN w:val="0"/>
        <w:adjustRightInd w:val="0"/>
        <w:rPr>
          <w:rFonts w:cs="Times New Roman"/>
          <w:color w:val="000000"/>
        </w:rPr>
      </w:pPr>
      <w:r w:rsidRPr="005F1973">
        <w:rPr>
          <w:rFonts w:cs="Times New Roman"/>
          <w:color w:val="000000"/>
        </w:rPr>
        <w:t>within the knowledge of people generally in the ordinary course of human experience</w:t>
      </w:r>
      <w:r w:rsidR="00E964F2">
        <w:rPr>
          <w:rFonts w:cs="Times New Roman"/>
          <w:color w:val="000000"/>
        </w:rPr>
        <w:t>;</w:t>
      </w:r>
      <w:r w:rsidRPr="005F1973">
        <w:rPr>
          <w:rFonts w:cs="Times New Roman"/>
          <w:color w:val="000000"/>
        </w:rPr>
        <w:t xml:space="preserve"> or </w:t>
      </w:r>
    </w:p>
    <w:p w14:paraId="7BF6DC03" w14:textId="5266555E" w:rsidR="002B257C" w:rsidRPr="005F1973" w:rsidRDefault="002B257C" w:rsidP="009F58D9">
      <w:pPr>
        <w:pStyle w:val="ListParagraph"/>
        <w:numPr>
          <w:ilvl w:val="1"/>
          <w:numId w:val="6"/>
        </w:numPr>
        <w:tabs>
          <w:tab w:val="left" w:pos="220"/>
        </w:tabs>
        <w:autoSpaceDE w:val="0"/>
        <w:autoSpaceDN w:val="0"/>
        <w:adjustRightInd w:val="0"/>
        <w:rPr>
          <w:rFonts w:cs="Times New Roman"/>
          <w:color w:val="000000"/>
        </w:rPr>
      </w:pPr>
      <w:r w:rsidRPr="005F1973">
        <w:rPr>
          <w:rFonts w:cs="Times New Roman"/>
          <w:color w:val="000000"/>
        </w:rPr>
        <w:t xml:space="preserve">generally accepted as true and capable of ready and unquestionable demonstration.” </w:t>
      </w:r>
    </w:p>
    <w:p w14:paraId="0EC9299D" w14:textId="77777777" w:rsidR="00FD4C50" w:rsidRPr="005F1973" w:rsidRDefault="00FD4C50" w:rsidP="00FD4C50">
      <w:pPr>
        <w:tabs>
          <w:tab w:val="left" w:pos="220"/>
        </w:tabs>
        <w:autoSpaceDE w:val="0"/>
        <w:autoSpaceDN w:val="0"/>
        <w:adjustRightInd w:val="0"/>
        <w:ind w:left="1440"/>
        <w:rPr>
          <w:rFonts w:cs="Times New Roman"/>
          <w:color w:val="000000"/>
        </w:rPr>
      </w:pPr>
    </w:p>
    <w:p w14:paraId="6682AE58" w14:textId="77777777" w:rsidR="00DC68F1" w:rsidRDefault="00DC68F1" w:rsidP="00B71472">
      <w:pPr>
        <w:tabs>
          <w:tab w:val="left" w:pos="220"/>
          <w:tab w:val="left" w:pos="720"/>
        </w:tabs>
        <w:autoSpaceDE w:val="0"/>
        <w:autoSpaceDN w:val="0"/>
        <w:adjustRightInd w:val="0"/>
        <w:spacing w:after="240" w:line="340" w:lineRule="atLeast"/>
        <w:rPr>
          <w:rFonts w:cs="Times New Roman"/>
          <w:b/>
          <w:bCs/>
          <w:color w:val="000000"/>
        </w:rPr>
      </w:pPr>
    </w:p>
    <w:p w14:paraId="6B65C5AE" w14:textId="0DA74EB2" w:rsidR="00FD4C50" w:rsidRPr="005F1973" w:rsidRDefault="002B257C" w:rsidP="00B71472">
      <w:pPr>
        <w:tabs>
          <w:tab w:val="left" w:pos="220"/>
          <w:tab w:val="left" w:pos="720"/>
        </w:tabs>
        <w:autoSpaceDE w:val="0"/>
        <w:autoSpaceDN w:val="0"/>
        <w:adjustRightInd w:val="0"/>
        <w:spacing w:after="240" w:line="340" w:lineRule="atLeast"/>
        <w:rPr>
          <w:rFonts w:eastAsia="MS Mincho" w:cs="Times New Roman"/>
          <w:color w:val="000000"/>
        </w:rPr>
      </w:pPr>
      <w:r w:rsidRPr="005F1973">
        <w:rPr>
          <w:rFonts w:cs="Times New Roman"/>
          <w:b/>
          <w:bCs/>
          <w:color w:val="000000"/>
        </w:rPr>
        <w:lastRenderedPageBreak/>
        <w:t xml:space="preserve">When may judicial notice be taken during a proceeding? </w:t>
      </w:r>
    </w:p>
    <w:p w14:paraId="2D25660F" w14:textId="4ABB95F0" w:rsidR="00FD4C50" w:rsidRPr="005F1973" w:rsidRDefault="002B257C" w:rsidP="00B71472">
      <w:pPr>
        <w:tabs>
          <w:tab w:val="left" w:pos="220"/>
          <w:tab w:val="left" w:pos="720"/>
        </w:tabs>
        <w:autoSpaceDE w:val="0"/>
        <w:autoSpaceDN w:val="0"/>
        <w:adjustRightInd w:val="0"/>
        <w:spacing w:after="240" w:line="340" w:lineRule="atLeast"/>
        <w:rPr>
          <w:rFonts w:eastAsia="MS Mincho" w:cs="Times New Roman"/>
          <w:color w:val="000000"/>
        </w:rPr>
      </w:pPr>
      <w:r w:rsidRPr="005F1973">
        <w:rPr>
          <w:rFonts w:cs="Times New Roman"/>
          <w:color w:val="000000"/>
        </w:rPr>
        <w:t xml:space="preserve">Judicial notice may be taken at any stage of the proceeding. </w:t>
      </w:r>
      <w:r w:rsidRPr="00E964F2">
        <w:rPr>
          <w:rFonts w:cs="Times New Roman"/>
          <w:i/>
          <w:color w:val="000000"/>
        </w:rPr>
        <w:t>Conn.</w:t>
      </w:r>
      <w:r w:rsidR="00D527ED" w:rsidRPr="00E964F2">
        <w:rPr>
          <w:rFonts w:cs="Times New Roman"/>
          <w:i/>
          <w:color w:val="000000"/>
        </w:rPr>
        <w:t xml:space="preserve"> </w:t>
      </w:r>
      <w:r w:rsidRPr="00E964F2">
        <w:rPr>
          <w:rFonts w:cs="Times New Roman"/>
          <w:i/>
          <w:color w:val="000000"/>
        </w:rPr>
        <w:t xml:space="preserve">Evid. </w:t>
      </w:r>
      <w:r w:rsidR="00D527ED" w:rsidRPr="00E964F2">
        <w:rPr>
          <w:rFonts w:cs="Times New Roman"/>
          <w:i/>
          <w:color w:val="000000"/>
        </w:rPr>
        <w:t xml:space="preserve">Code </w:t>
      </w:r>
      <w:r w:rsidRPr="00E964F2">
        <w:rPr>
          <w:rFonts w:cs="Times New Roman"/>
          <w:i/>
          <w:color w:val="000000"/>
        </w:rPr>
        <w:t>§ 2-1(d).</w:t>
      </w:r>
      <w:r w:rsidRPr="005F1973">
        <w:rPr>
          <w:rFonts w:cs="Times New Roman"/>
          <w:color w:val="000000"/>
        </w:rPr>
        <w:t xml:space="preserve"> However, the opposing party is entitled to notice and a right to be heard. </w:t>
      </w:r>
      <w:r w:rsidR="00D527ED" w:rsidRPr="00E964F2">
        <w:rPr>
          <w:rFonts w:cs="Times New Roman"/>
          <w:i/>
          <w:color w:val="000000"/>
        </w:rPr>
        <w:t xml:space="preserve">Conn. Evid. Code </w:t>
      </w:r>
      <w:r w:rsidRPr="00E964F2">
        <w:rPr>
          <w:rFonts w:cs="Times New Roman"/>
          <w:i/>
          <w:color w:val="000000"/>
        </w:rPr>
        <w:t>§ 2-2</w:t>
      </w:r>
      <w:r w:rsidRPr="005F1973">
        <w:rPr>
          <w:rFonts w:cs="Times New Roman"/>
          <w:color w:val="000000"/>
        </w:rPr>
        <w:t xml:space="preserve">; </w:t>
      </w:r>
      <w:r w:rsidRPr="005F1973">
        <w:rPr>
          <w:rFonts w:cs="Times New Roman"/>
          <w:i/>
          <w:iCs/>
          <w:color w:val="000000"/>
        </w:rPr>
        <w:t>State v. Zayas</w:t>
      </w:r>
      <w:r w:rsidRPr="005F1973">
        <w:rPr>
          <w:rFonts w:cs="Times New Roman"/>
          <w:color w:val="000000"/>
        </w:rPr>
        <w:t>, 195 Conn. 611, 615, 490 A.2d 68 (1985)</w:t>
      </w:r>
      <w:r w:rsidR="006B1DCD" w:rsidRPr="005F1973">
        <w:rPr>
          <w:rFonts w:cs="Times New Roman"/>
          <w:color w:val="000000"/>
        </w:rPr>
        <w:t xml:space="preserve">; </w:t>
      </w:r>
      <w:r w:rsidR="006B1DCD" w:rsidRPr="005F1973">
        <w:rPr>
          <w:rFonts w:cs="Times New Roman"/>
          <w:i/>
          <w:color w:val="000000"/>
        </w:rPr>
        <w:t>accord In re Ayla C.</w:t>
      </w:r>
      <w:r w:rsidR="006B1DCD" w:rsidRPr="005F1973">
        <w:rPr>
          <w:rFonts w:cs="Times New Roman"/>
          <w:color w:val="000000"/>
        </w:rPr>
        <w:t xml:space="preserve">, </w:t>
      </w:r>
      <w:r w:rsidR="002A5030" w:rsidRPr="005F1973">
        <w:rPr>
          <w:rFonts w:cs="Times New Roman"/>
          <w:color w:val="000000"/>
        </w:rPr>
        <w:t>2012 WL 3892871 (2012)</w:t>
      </w:r>
      <w:r w:rsidRPr="005F1973">
        <w:rPr>
          <w:rFonts w:cs="Times New Roman"/>
          <w:color w:val="000000"/>
        </w:rPr>
        <w:t xml:space="preserve">. </w:t>
      </w:r>
    </w:p>
    <w:p w14:paraId="17077F5B" w14:textId="4B6B0864" w:rsidR="002B257C" w:rsidRPr="005F1973" w:rsidRDefault="00E35641" w:rsidP="002B257C">
      <w:pPr>
        <w:autoSpaceDE w:val="0"/>
        <w:autoSpaceDN w:val="0"/>
        <w:adjustRightInd w:val="0"/>
        <w:spacing w:after="240" w:line="340" w:lineRule="atLeast"/>
        <w:rPr>
          <w:rFonts w:cs="Times New Roman"/>
          <w:color w:val="000000"/>
        </w:rPr>
      </w:pPr>
      <w:r w:rsidRPr="005F1973">
        <w:rPr>
          <w:rFonts w:cs="Times New Roman"/>
          <w:b/>
          <w:bCs/>
          <w:color w:val="000000"/>
        </w:rPr>
        <w:t>Must the court</w:t>
      </w:r>
      <w:r w:rsidR="002B257C" w:rsidRPr="005F1973">
        <w:rPr>
          <w:rFonts w:cs="Times New Roman"/>
          <w:b/>
          <w:bCs/>
          <w:color w:val="000000"/>
        </w:rPr>
        <w:t xml:space="preserve"> take judicial notice when asked? </w:t>
      </w:r>
    </w:p>
    <w:p w14:paraId="15AD8D05" w14:textId="0358AF70" w:rsidR="002B257C" w:rsidRPr="005F1973" w:rsidRDefault="002B257C" w:rsidP="002B257C">
      <w:pPr>
        <w:autoSpaceDE w:val="0"/>
        <w:autoSpaceDN w:val="0"/>
        <w:adjustRightInd w:val="0"/>
        <w:spacing w:after="240" w:line="300" w:lineRule="atLeast"/>
        <w:rPr>
          <w:rFonts w:cs="Times New Roman"/>
          <w:color w:val="000000"/>
        </w:rPr>
      </w:pPr>
      <w:r w:rsidRPr="005F1973">
        <w:rPr>
          <w:rFonts w:cs="Times New Roman"/>
          <w:color w:val="000000"/>
        </w:rPr>
        <w:t xml:space="preserve">The Connecticut Code of Evidence § 2-1 provides that a court “may, but is not required to, take notice of matters of fact.” </w:t>
      </w:r>
    </w:p>
    <w:p w14:paraId="3E07ACD1" w14:textId="77777777" w:rsidR="002B257C" w:rsidRPr="005F1973" w:rsidRDefault="002B257C" w:rsidP="002B257C">
      <w:pPr>
        <w:autoSpaceDE w:val="0"/>
        <w:autoSpaceDN w:val="0"/>
        <w:adjustRightInd w:val="0"/>
        <w:spacing w:after="240" w:line="340" w:lineRule="atLeast"/>
        <w:rPr>
          <w:rFonts w:cs="Times New Roman"/>
          <w:color w:val="000000"/>
        </w:rPr>
      </w:pPr>
      <w:r w:rsidRPr="005F1973">
        <w:rPr>
          <w:rFonts w:cs="Times New Roman"/>
          <w:b/>
          <w:bCs/>
          <w:color w:val="000000"/>
        </w:rPr>
        <w:t xml:space="preserve">May a court take judicial notice of previous proceedings within the same case? </w:t>
      </w:r>
    </w:p>
    <w:p w14:paraId="477DAA03" w14:textId="2A9AA666" w:rsidR="002B257C" w:rsidRPr="005F1973" w:rsidRDefault="002B257C" w:rsidP="002B257C">
      <w:pPr>
        <w:autoSpaceDE w:val="0"/>
        <w:autoSpaceDN w:val="0"/>
        <w:adjustRightInd w:val="0"/>
        <w:spacing w:after="240" w:line="300" w:lineRule="atLeast"/>
        <w:rPr>
          <w:rFonts w:cs="Times New Roman"/>
          <w:color w:val="000000"/>
        </w:rPr>
      </w:pPr>
      <w:r w:rsidRPr="005F1973">
        <w:rPr>
          <w:rFonts w:cs="Times New Roman"/>
          <w:color w:val="000000"/>
        </w:rPr>
        <w:t>Yes, a trial court may take judicial notice of fa</w:t>
      </w:r>
      <w:r w:rsidR="00706E38" w:rsidRPr="005F1973">
        <w:rPr>
          <w:rFonts w:cs="Times New Roman"/>
          <w:color w:val="000000"/>
        </w:rPr>
        <w:t>cts contained in the court file</w:t>
      </w:r>
      <w:r w:rsidRPr="005F1973">
        <w:rPr>
          <w:rFonts w:cs="Times New Roman"/>
          <w:color w:val="000000"/>
        </w:rPr>
        <w:t xml:space="preserve"> and may take notice of court files in other actions between the same parties. </w:t>
      </w:r>
      <w:r w:rsidR="00706E38" w:rsidRPr="005F1973">
        <w:rPr>
          <w:rFonts w:cs="Times New Roman"/>
          <w:i/>
          <w:iCs/>
          <w:color w:val="000000"/>
        </w:rPr>
        <w:t>In re Jeisean M.</w:t>
      </w:r>
      <w:r w:rsidRPr="005F1973">
        <w:rPr>
          <w:rFonts w:cs="Times New Roman"/>
          <w:color w:val="000000"/>
        </w:rPr>
        <w:t xml:space="preserve">, </w:t>
      </w:r>
      <w:r w:rsidR="00706E38" w:rsidRPr="005F1973">
        <w:rPr>
          <w:rFonts w:cs="Times New Roman"/>
          <w:color w:val="000000"/>
        </w:rPr>
        <w:t>270 Conn. 382, 402-403</w:t>
      </w:r>
      <w:r w:rsidRPr="005F1973">
        <w:rPr>
          <w:rFonts w:cs="Times New Roman"/>
          <w:color w:val="000000"/>
        </w:rPr>
        <w:t xml:space="preserve"> </w:t>
      </w:r>
      <w:r w:rsidR="00706E38" w:rsidRPr="005F1973">
        <w:rPr>
          <w:rFonts w:cs="Times New Roman"/>
          <w:color w:val="000000"/>
        </w:rPr>
        <w:t>(2004</w:t>
      </w:r>
      <w:r w:rsidRPr="005F1973">
        <w:rPr>
          <w:rFonts w:cs="Times New Roman"/>
          <w:color w:val="000000"/>
        </w:rPr>
        <w:t>)</w:t>
      </w:r>
      <w:r w:rsidR="00706E38" w:rsidRPr="005F1973">
        <w:rPr>
          <w:rFonts w:cs="Times New Roman"/>
          <w:color w:val="000000"/>
        </w:rPr>
        <w:t xml:space="preserve">, </w:t>
      </w:r>
      <w:r w:rsidR="00706E38" w:rsidRPr="005F1973">
        <w:rPr>
          <w:rFonts w:cs="Times New Roman"/>
          <w:i/>
          <w:color w:val="000000"/>
        </w:rPr>
        <w:t xml:space="preserve">citing </w:t>
      </w:r>
      <w:r w:rsidR="00706E38" w:rsidRPr="005F1973">
        <w:rPr>
          <w:rFonts w:cs="Times New Roman"/>
          <w:i/>
          <w:iCs/>
          <w:color w:val="000000"/>
        </w:rPr>
        <w:t>Brockett v. Jensen</w:t>
      </w:r>
      <w:r w:rsidR="00706E38" w:rsidRPr="005F1973">
        <w:rPr>
          <w:rFonts w:cs="Times New Roman"/>
          <w:color w:val="000000"/>
        </w:rPr>
        <w:t xml:space="preserve">, 154 Conn. 328, 336 (1966) and </w:t>
      </w:r>
      <w:r w:rsidR="00706E38" w:rsidRPr="005F1973">
        <w:rPr>
          <w:rFonts w:cs="Times New Roman"/>
          <w:i/>
          <w:color w:val="000000"/>
        </w:rPr>
        <w:t>Carpenter v. Planning and Zoning Commission</w:t>
      </w:r>
      <w:r w:rsidR="00706E38" w:rsidRPr="005F1973">
        <w:rPr>
          <w:rFonts w:cs="Times New Roman"/>
          <w:color w:val="000000"/>
        </w:rPr>
        <w:t>, 176 Conn. 581, 591 (1979)</w:t>
      </w:r>
      <w:r w:rsidRPr="005F1973">
        <w:rPr>
          <w:rFonts w:cs="Times New Roman"/>
          <w:color w:val="000000"/>
        </w:rPr>
        <w:t xml:space="preserve">. </w:t>
      </w:r>
    </w:p>
    <w:p w14:paraId="24D6E910" w14:textId="72A3554D" w:rsidR="00FB0D2B" w:rsidRPr="005F1973" w:rsidRDefault="002B257C" w:rsidP="002B257C">
      <w:pPr>
        <w:autoSpaceDE w:val="0"/>
        <w:autoSpaceDN w:val="0"/>
        <w:adjustRightInd w:val="0"/>
        <w:spacing w:after="240" w:line="340" w:lineRule="atLeast"/>
        <w:rPr>
          <w:rFonts w:eastAsia="MS Mincho" w:cs="Times New Roman"/>
          <w:b/>
          <w:bCs/>
          <w:color w:val="000000"/>
        </w:rPr>
      </w:pPr>
      <w:r w:rsidRPr="005F1973">
        <w:rPr>
          <w:rFonts w:cs="Times New Roman"/>
          <w:b/>
          <w:bCs/>
          <w:color w:val="000000"/>
        </w:rPr>
        <w:t>Can the court take judicial notice of the factual findings in an earlier neglect proceeding involving the same parent?</w:t>
      </w:r>
    </w:p>
    <w:p w14:paraId="3AF017FF" w14:textId="48DDD0D2" w:rsidR="002B257C" w:rsidRDefault="002B257C" w:rsidP="002B257C">
      <w:pPr>
        <w:autoSpaceDE w:val="0"/>
        <w:autoSpaceDN w:val="0"/>
        <w:adjustRightInd w:val="0"/>
        <w:spacing w:after="240" w:line="340" w:lineRule="atLeast"/>
        <w:rPr>
          <w:rFonts w:cs="Times New Roman"/>
          <w:color w:val="000000"/>
        </w:rPr>
      </w:pPr>
      <w:r w:rsidRPr="005F1973">
        <w:rPr>
          <w:rFonts w:cs="Times New Roman"/>
          <w:color w:val="000000"/>
        </w:rPr>
        <w:t xml:space="preserve">Sometimes. A court could take judicial notice of factual findings in an earlier case, but only if the requirements of collateral estoppel were met. In many juvenile court cases, those requirements are indeed met. See </w:t>
      </w:r>
      <w:r w:rsidRPr="005F1973">
        <w:rPr>
          <w:rFonts w:cs="Times New Roman"/>
          <w:i/>
          <w:iCs/>
          <w:color w:val="000000"/>
        </w:rPr>
        <w:t>In re Juvenile Appeal (83-DE)</w:t>
      </w:r>
      <w:r w:rsidRPr="005F1973">
        <w:rPr>
          <w:rFonts w:cs="Times New Roman"/>
          <w:color w:val="000000"/>
        </w:rPr>
        <w:t>, 190 Conn. 310, 316 (1983) (collateral estoppel, or issue preclusion, prohibits re-litigation of an issue that “was actually litigated and necessarily determined in a prior action between the same parties on a different claim”)</w:t>
      </w:r>
      <w:r w:rsidR="00EF3F48" w:rsidRPr="005F1973">
        <w:rPr>
          <w:rFonts w:cs="Times New Roman"/>
          <w:color w:val="000000"/>
        </w:rPr>
        <w:t xml:space="preserve">; </w:t>
      </w:r>
      <w:r w:rsidR="00EF3F48" w:rsidRPr="005F1973">
        <w:rPr>
          <w:rFonts w:cs="Times New Roman"/>
          <w:i/>
          <w:color w:val="000000"/>
        </w:rPr>
        <w:t>In re Stephen M.</w:t>
      </w:r>
      <w:r w:rsidR="00EF3F48" w:rsidRPr="005F1973">
        <w:rPr>
          <w:rFonts w:cs="Times New Roman"/>
          <w:color w:val="000000"/>
        </w:rPr>
        <w:t xml:space="preserve">, </w:t>
      </w:r>
      <w:r w:rsidR="005F0AF6" w:rsidRPr="005F1973">
        <w:rPr>
          <w:rFonts w:cs="Times New Roman"/>
          <w:color w:val="000000"/>
        </w:rPr>
        <w:t>109 Conn. App. 644, 678 (2008) (“The doctrine of collateral estoppel precludes the relitigation of the finding of neglect.”)</w:t>
      </w:r>
      <w:r w:rsidRPr="005F1973">
        <w:rPr>
          <w:rFonts w:cs="Times New Roman"/>
          <w:color w:val="000000"/>
        </w:rPr>
        <w:t xml:space="preserve">. </w:t>
      </w:r>
    </w:p>
    <w:p w14:paraId="00A0DCE3" w14:textId="55714469" w:rsidR="00404C9D" w:rsidRPr="00404C9D" w:rsidRDefault="00404C9D" w:rsidP="002B257C">
      <w:pPr>
        <w:autoSpaceDE w:val="0"/>
        <w:autoSpaceDN w:val="0"/>
        <w:adjustRightInd w:val="0"/>
        <w:spacing w:after="240" w:line="340" w:lineRule="atLeast"/>
        <w:rPr>
          <w:rFonts w:cs="Times New Roman"/>
          <w:color w:val="000000"/>
        </w:rPr>
      </w:pPr>
      <w:r>
        <w:rPr>
          <w:rFonts w:cs="Times New Roman"/>
          <w:color w:val="000000"/>
        </w:rPr>
        <w:t xml:space="preserve">In </w:t>
      </w:r>
      <w:r>
        <w:rPr>
          <w:rFonts w:cs="Times New Roman"/>
          <w:i/>
          <w:color w:val="000000"/>
        </w:rPr>
        <w:t>In re Natalie J</w:t>
      </w:r>
      <w:r>
        <w:rPr>
          <w:rFonts w:cs="Times New Roman"/>
          <w:color w:val="000000"/>
        </w:rPr>
        <w:t xml:space="preserve">., 311 Conn. 930 (2014), the court found that the trial court properly took judicial notice of the </w:t>
      </w:r>
      <w:r w:rsidR="00D06D73">
        <w:rPr>
          <w:rFonts w:cs="Times New Roman"/>
          <w:color w:val="000000"/>
        </w:rPr>
        <w:t>mandated Social S</w:t>
      </w:r>
      <w:r>
        <w:rPr>
          <w:rFonts w:cs="Times New Roman"/>
          <w:color w:val="000000"/>
        </w:rPr>
        <w:t xml:space="preserve">tudy at a </w:t>
      </w:r>
      <w:r w:rsidR="00D06D73">
        <w:rPr>
          <w:rFonts w:cs="Times New Roman"/>
          <w:color w:val="000000"/>
        </w:rPr>
        <w:t>hearing to revoke commitment, e</w:t>
      </w:r>
      <w:r>
        <w:rPr>
          <w:rFonts w:cs="Times New Roman"/>
          <w:color w:val="000000"/>
        </w:rPr>
        <w:t>ven though the mother failed to appear at the earlier neglect proceeding at which it was introduced and admitted without exception into evidence.</w:t>
      </w:r>
    </w:p>
    <w:p w14:paraId="5BDE8FC9" w14:textId="18454FAD" w:rsidR="00FD4C50" w:rsidRPr="005F1973" w:rsidRDefault="002B257C" w:rsidP="002B257C">
      <w:pPr>
        <w:autoSpaceDE w:val="0"/>
        <w:autoSpaceDN w:val="0"/>
        <w:adjustRightInd w:val="0"/>
        <w:spacing w:after="240" w:line="340" w:lineRule="atLeast"/>
        <w:rPr>
          <w:rFonts w:eastAsia="MS Mincho" w:cs="Times New Roman"/>
          <w:b/>
          <w:bCs/>
          <w:color w:val="000000"/>
        </w:rPr>
      </w:pPr>
      <w:r w:rsidRPr="005F1973">
        <w:rPr>
          <w:rFonts w:cs="Times New Roman"/>
          <w:b/>
          <w:bCs/>
          <w:color w:val="000000"/>
        </w:rPr>
        <w:t>Does this mean that the court can adopt all of the exhibits, in their entirety, from a previous proceeding?</w:t>
      </w:r>
    </w:p>
    <w:p w14:paraId="27D5627C" w14:textId="7B5765EC" w:rsidR="002B257C" w:rsidRPr="005F1973" w:rsidRDefault="002B257C" w:rsidP="002B257C">
      <w:pPr>
        <w:autoSpaceDE w:val="0"/>
        <w:autoSpaceDN w:val="0"/>
        <w:adjustRightInd w:val="0"/>
        <w:spacing w:after="240" w:line="340" w:lineRule="atLeast"/>
        <w:rPr>
          <w:rFonts w:cs="Times New Roman"/>
          <w:color w:val="000000"/>
        </w:rPr>
      </w:pPr>
      <w:r w:rsidRPr="005F1973">
        <w:rPr>
          <w:rFonts w:cs="Times New Roman"/>
          <w:color w:val="000000"/>
        </w:rPr>
        <w:t xml:space="preserve">Not necessarily. Although a trial court may take judicial notice of a file of another action in the same court, not every statement or conclusion found in the file is </w:t>
      </w:r>
      <w:r w:rsidR="00D06D73">
        <w:rPr>
          <w:rFonts w:cs="Times New Roman"/>
          <w:color w:val="000000"/>
        </w:rPr>
        <w:t>admissible</w:t>
      </w:r>
      <w:r w:rsidRPr="005F1973">
        <w:rPr>
          <w:rFonts w:cs="Times New Roman"/>
          <w:color w:val="000000"/>
        </w:rPr>
        <w:t xml:space="preserve"> because such statements may be hearsay and offered to prove the truth of the matter asserted. </w:t>
      </w:r>
      <w:r w:rsidRPr="005F1973">
        <w:rPr>
          <w:rFonts w:cs="Times New Roman"/>
          <w:i/>
          <w:iCs/>
          <w:color w:val="000000"/>
        </w:rPr>
        <w:t>Aponte v. Jeffcoat</w:t>
      </w:r>
      <w:r w:rsidRPr="005F1973">
        <w:rPr>
          <w:rFonts w:cs="Times New Roman"/>
          <w:color w:val="000000"/>
        </w:rPr>
        <w:t xml:space="preserve">, 1997 WL 753398; Tait and LaPlante's Handbook of Connecticut Evidence § 6.2.2(a) (2nd Ed.1988). </w:t>
      </w:r>
    </w:p>
    <w:p w14:paraId="6503E6A0" w14:textId="77777777" w:rsidR="00D06D73" w:rsidRDefault="00D06D73" w:rsidP="002B257C">
      <w:pPr>
        <w:autoSpaceDE w:val="0"/>
        <w:autoSpaceDN w:val="0"/>
        <w:adjustRightInd w:val="0"/>
        <w:spacing w:after="240" w:line="340" w:lineRule="atLeast"/>
        <w:rPr>
          <w:rFonts w:cs="Times New Roman"/>
          <w:b/>
          <w:bCs/>
          <w:color w:val="000000"/>
        </w:rPr>
      </w:pPr>
    </w:p>
    <w:p w14:paraId="40300883" w14:textId="40144766" w:rsidR="002B257C" w:rsidRPr="005F1973" w:rsidRDefault="002B257C" w:rsidP="002B257C">
      <w:pPr>
        <w:autoSpaceDE w:val="0"/>
        <w:autoSpaceDN w:val="0"/>
        <w:adjustRightInd w:val="0"/>
        <w:spacing w:after="240" w:line="340" w:lineRule="atLeast"/>
        <w:rPr>
          <w:rFonts w:cs="Times New Roman"/>
          <w:color w:val="000000"/>
        </w:rPr>
      </w:pPr>
      <w:r w:rsidRPr="005F1973">
        <w:rPr>
          <w:rFonts w:cs="Times New Roman"/>
          <w:b/>
          <w:bCs/>
          <w:color w:val="000000"/>
        </w:rPr>
        <w:lastRenderedPageBreak/>
        <w:t xml:space="preserve">May the court take judicial notice of psychological evaluations? </w:t>
      </w:r>
    </w:p>
    <w:p w14:paraId="04AA2F06" w14:textId="12CACDE8" w:rsidR="00A01771" w:rsidRPr="005F1973" w:rsidRDefault="002B257C" w:rsidP="001007D2">
      <w:pPr>
        <w:autoSpaceDE w:val="0"/>
        <w:autoSpaceDN w:val="0"/>
        <w:adjustRightInd w:val="0"/>
        <w:spacing w:after="240" w:line="300" w:lineRule="atLeast"/>
        <w:rPr>
          <w:rFonts w:cs="Times New Roman"/>
          <w:color w:val="000000"/>
        </w:rPr>
      </w:pPr>
      <w:r w:rsidRPr="005F1973">
        <w:rPr>
          <w:rFonts w:cs="Times New Roman"/>
          <w:color w:val="000000"/>
        </w:rPr>
        <w:t xml:space="preserve">In </w:t>
      </w:r>
      <w:r w:rsidRPr="005F1973">
        <w:rPr>
          <w:rFonts w:cs="Times New Roman"/>
          <w:i/>
          <w:iCs/>
          <w:color w:val="000000"/>
        </w:rPr>
        <w:t xml:space="preserve">In re Stacy G., </w:t>
      </w:r>
      <w:r w:rsidRPr="005F1973">
        <w:rPr>
          <w:rFonts w:cs="Times New Roman"/>
          <w:color w:val="000000"/>
        </w:rPr>
        <w:t>94 Conn. App. 348 (2006), the court took judicial notice of a psychological evaluation (</w:t>
      </w:r>
      <w:r w:rsidR="00E964F2">
        <w:rPr>
          <w:rFonts w:cs="Times New Roman"/>
          <w:color w:val="000000"/>
        </w:rPr>
        <w:t>three</w:t>
      </w:r>
      <w:r w:rsidRPr="005F1973">
        <w:rPr>
          <w:rFonts w:cs="Times New Roman"/>
          <w:color w:val="000000"/>
        </w:rPr>
        <w:t xml:space="preserve"> reports), with no live witness to cross, and stated that it read the reports prior to rendering an opinion. The </w:t>
      </w:r>
      <w:r w:rsidR="00404C9D">
        <w:rPr>
          <w:rFonts w:cs="Times New Roman"/>
          <w:color w:val="000000"/>
        </w:rPr>
        <w:t>A</w:t>
      </w:r>
      <w:r w:rsidRPr="005F1973">
        <w:rPr>
          <w:rFonts w:cs="Times New Roman"/>
          <w:color w:val="000000"/>
        </w:rPr>
        <w:t xml:space="preserve">ppellate </w:t>
      </w:r>
      <w:r w:rsidR="00404C9D">
        <w:rPr>
          <w:rFonts w:cs="Times New Roman"/>
          <w:color w:val="000000"/>
        </w:rPr>
        <w:t>C</w:t>
      </w:r>
      <w:r w:rsidRPr="005F1973">
        <w:rPr>
          <w:rFonts w:cs="Times New Roman"/>
          <w:color w:val="000000"/>
        </w:rPr>
        <w:t xml:space="preserve">ourt held that the admission of </w:t>
      </w:r>
      <w:r w:rsidR="00D06D73">
        <w:rPr>
          <w:rFonts w:cs="Times New Roman"/>
          <w:color w:val="000000"/>
        </w:rPr>
        <w:t xml:space="preserve">the </w:t>
      </w:r>
      <w:r w:rsidRPr="005F1973">
        <w:rPr>
          <w:rFonts w:cs="Times New Roman"/>
          <w:color w:val="000000"/>
        </w:rPr>
        <w:t xml:space="preserve">reports was improper. In addition to the reports themselves being hearsay, they also contained inadmissible hearsay from other individuals who were not the respondent or author. The court held that “we recognize ... that reports [like these] </w:t>
      </w:r>
      <w:r w:rsidR="001007D2" w:rsidRPr="005F1973">
        <w:rPr>
          <w:rFonts w:cs="Times New Roman"/>
          <w:color w:val="000000"/>
        </w:rPr>
        <w:t xml:space="preserve">sometimes </w:t>
      </w:r>
      <w:r w:rsidRPr="005F1973">
        <w:rPr>
          <w:rFonts w:cs="Times New Roman"/>
          <w:color w:val="000000"/>
        </w:rPr>
        <w:t>may find their way into the court file</w:t>
      </w:r>
      <w:r w:rsidR="001007D2" w:rsidRPr="005F1973">
        <w:rPr>
          <w:rFonts w:cs="Times New Roman"/>
          <w:color w:val="000000"/>
        </w:rPr>
        <w:t>, albeit improperly,</w:t>
      </w:r>
      <w:r w:rsidRPr="005F1973">
        <w:rPr>
          <w:rFonts w:cs="Times New Roman"/>
          <w:color w:val="000000"/>
        </w:rPr>
        <w:t xml:space="preserve"> particularly in family and juvenile cases. </w:t>
      </w:r>
      <w:r w:rsidR="001007D2" w:rsidRPr="005F1973">
        <w:rPr>
          <w:rFonts w:cs="Times New Roman"/>
          <w:color w:val="000000"/>
        </w:rPr>
        <w:t>That in itself does not make them admissible evidence, nor does i</w:t>
      </w:r>
      <w:r w:rsidRPr="005F1973">
        <w:rPr>
          <w:rFonts w:cs="Times New Roman"/>
          <w:color w:val="000000"/>
        </w:rPr>
        <w:t xml:space="preserve">t entitle </w:t>
      </w:r>
      <w:r w:rsidR="001007D2" w:rsidRPr="005F1973">
        <w:rPr>
          <w:rFonts w:cs="Times New Roman"/>
          <w:color w:val="000000"/>
        </w:rPr>
        <w:t>a trial</w:t>
      </w:r>
      <w:r w:rsidRPr="005F1973">
        <w:rPr>
          <w:rFonts w:cs="Times New Roman"/>
          <w:color w:val="000000"/>
        </w:rPr>
        <w:t xml:space="preserve"> judge to take judicial notice of them.” </w:t>
      </w:r>
      <w:r w:rsidR="00D2065A" w:rsidRPr="005F1973">
        <w:rPr>
          <w:rFonts w:cs="Times New Roman"/>
          <w:color w:val="000000"/>
        </w:rPr>
        <w:t xml:space="preserve">94 Conn. App. </w:t>
      </w:r>
      <w:r w:rsidR="001007D2" w:rsidRPr="005F1973">
        <w:rPr>
          <w:rFonts w:cs="Times New Roman"/>
          <w:color w:val="000000"/>
        </w:rPr>
        <w:t xml:space="preserve">at 354; </w:t>
      </w:r>
      <w:r w:rsidR="001007D2" w:rsidRPr="005F1973">
        <w:rPr>
          <w:rFonts w:cs="Times New Roman"/>
          <w:i/>
          <w:color w:val="000000"/>
        </w:rPr>
        <w:t xml:space="preserve">accord In re Eric A. </w:t>
      </w:r>
      <w:r w:rsidR="001007D2" w:rsidRPr="005F1973">
        <w:rPr>
          <w:rFonts w:cs="Times New Roman"/>
          <w:color w:val="000000"/>
        </w:rPr>
        <w:t>2007 WL</w:t>
      </w:r>
      <w:r w:rsidR="001007D2" w:rsidRPr="005F1973">
        <w:rPr>
          <w:rFonts w:cs="Times New Roman"/>
          <w:i/>
          <w:color w:val="000000"/>
        </w:rPr>
        <w:t xml:space="preserve"> </w:t>
      </w:r>
      <w:r w:rsidR="001007D2" w:rsidRPr="005F1973">
        <w:rPr>
          <w:rFonts w:cs="Times New Roman"/>
          <w:color w:val="000000"/>
        </w:rPr>
        <w:t xml:space="preserve">940490, at *5, fn.4 (2007). </w:t>
      </w:r>
    </w:p>
    <w:p w14:paraId="7E203D8E" w14:textId="6980764F" w:rsidR="00C7102D" w:rsidRPr="005F1973" w:rsidRDefault="00C7102D" w:rsidP="001007D2">
      <w:pPr>
        <w:autoSpaceDE w:val="0"/>
        <w:autoSpaceDN w:val="0"/>
        <w:adjustRightInd w:val="0"/>
        <w:spacing w:after="240" w:line="300" w:lineRule="atLeast"/>
        <w:rPr>
          <w:rFonts w:cs="Times New Roman"/>
          <w:color w:val="000000"/>
        </w:rPr>
      </w:pPr>
    </w:p>
    <w:p w14:paraId="5A536506" w14:textId="77777777" w:rsidR="00C7102D" w:rsidRPr="005F1973" w:rsidRDefault="00C7102D" w:rsidP="001007D2">
      <w:pPr>
        <w:autoSpaceDE w:val="0"/>
        <w:autoSpaceDN w:val="0"/>
        <w:adjustRightInd w:val="0"/>
        <w:spacing w:after="240" w:line="300" w:lineRule="atLeast"/>
        <w:rPr>
          <w:rFonts w:cs="Times New Roman"/>
        </w:rPr>
      </w:pPr>
    </w:p>
    <w:p w14:paraId="405050C1" w14:textId="77777777" w:rsidR="00C7102D" w:rsidRPr="005F1973" w:rsidRDefault="00C7102D" w:rsidP="001007D2">
      <w:pPr>
        <w:autoSpaceDE w:val="0"/>
        <w:autoSpaceDN w:val="0"/>
        <w:adjustRightInd w:val="0"/>
        <w:spacing w:after="240" w:line="300" w:lineRule="atLeast"/>
        <w:rPr>
          <w:rFonts w:cs="Times New Roman"/>
        </w:rPr>
      </w:pPr>
    </w:p>
    <w:p w14:paraId="210832CE" w14:textId="77777777" w:rsidR="00C7102D" w:rsidRPr="005F1973" w:rsidRDefault="00C7102D" w:rsidP="001007D2">
      <w:pPr>
        <w:autoSpaceDE w:val="0"/>
        <w:autoSpaceDN w:val="0"/>
        <w:adjustRightInd w:val="0"/>
        <w:spacing w:after="240" w:line="300" w:lineRule="atLeast"/>
        <w:rPr>
          <w:rFonts w:cs="Times New Roman"/>
        </w:rPr>
      </w:pPr>
    </w:p>
    <w:p w14:paraId="0E847240" w14:textId="77777777" w:rsidR="00C7102D" w:rsidRPr="005F1973" w:rsidRDefault="00C7102D" w:rsidP="001007D2">
      <w:pPr>
        <w:autoSpaceDE w:val="0"/>
        <w:autoSpaceDN w:val="0"/>
        <w:adjustRightInd w:val="0"/>
        <w:spacing w:after="240" w:line="300" w:lineRule="atLeast"/>
        <w:rPr>
          <w:rFonts w:cs="Times New Roman"/>
        </w:rPr>
      </w:pPr>
      <w:bookmarkStart w:id="0" w:name="_GoBack"/>
      <w:bookmarkEnd w:id="0"/>
    </w:p>
    <w:p w14:paraId="08C968D0" w14:textId="77777777" w:rsidR="00C7102D" w:rsidRPr="005F1973" w:rsidRDefault="00C7102D" w:rsidP="001007D2">
      <w:pPr>
        <w:autoSpaceDE w:val="0"/>
        <w:autoSpaceDN w:val="0"/>
        <w:adjustRightInd w:val="0"/>
        <w:spacing w:after="240" w:line="300" w:lineRule="atLeast"/>
        <w:rPr>
          <w:rFonts w:cs="Times New Roman"/>
        </w:rPr>
      </w:pPr>
    </w:p>
    <w:p w14:paraId="3ECAB31E" w14:textId="77777777" w:rsidR="00C7102D" w:rsidRPr="005F1973" w:rsidRDefault="00C7102D" w:rsidP="001007D2">
      <w:pPr>
        <w:autoSpaceDE w:val="0"/>
        <w:autoSpaceDN w:val="0"/>
        <w:adjustRightInd w:val="0"/>
        <w:spacing w:after="240" w:line="300" w:lineRule="atLeast"/>
        <w:rPr>
          <w:rFonts w:cs="Times New Roman"/>
        </w:rPr>
      </w:pPr>
    </w:p>
    <w:p w14:paraId="6BE97954" w14:textId="77777777" w:rsidR="00C7102D" w:rsidRPr="005F1973" w:rsidRDefault="00C7102D" w:rsidP="001007D2">
      <w:pPr>
        <w:autoSpaceDE w:val="0"/>
        <w:autoSpaceDN w:val="0"/>
        <w:adjustRightInd w:val="0"/>
        <w:spacing w:after="240" w:line="300" w:lineRule="atLeast"/>
        <w:rPr>
          <w:rFonts w:cs="Times New Roman"/>
        </w:rPr>
      </w:pPr>
    </w:p>
    <w:p w14:paraId="0CDF1253" w14:textId="77777777" w:rsidR="00C7102D" w:rsidRPr="005F1973" w:rsidRDefault="00C7102D" w:rsidP="001007D2">
      <w:pPr>
        <w:autoSpaceDE w:val="0"/>
        <w:autoSpaceDN w:val="0"/>
        <w:adjustRightInd w:val="0"/>
        <w:spacing w:after="240" w:line="300" w:lineRule="atLeast"/>
        <w:rPr>
          <w:rFonts w:cs="Times New Roman"/>
        </w:rPr>
      </w:pPr>
    </w:p>
    <w:p w14:paraId="3990F64F" w14:textId="77777777" w:rsidR="00C7102D" w:rsidRPr="005F1973" w:rsidRDefault="00C7102D" w:rsidP="001007D2">
      <w:pPr>
        <w:autoSpaceDE w:val="0"/>
        <w:autoSpaceDN w:val="0"/>
        <w:adjustRightInd w:val="0"/>
        <w:spacing w:after="240" w:line="300" w:lineRule="atLeast"/>
        <w:rPr>
          <w:rFonts w:cs="Times New Roman"/>
        </w:rPr>
      </w:pPr>
    </w:p>
    <w:p w14:paraId="5AF1CE4E" w14:textId="77777777" w:rsidR="00C7102D" w:rsidRPr="005F1973" w:rsidRDefault="00C7102D" w:rsidP="001007D2">
      <w:pPr>
        <w:autoSpaceDE w:val="0"/>
        <w:autoSpaceDN w:val="0"/>
        <w:adjustRightInd w:val="0"/>
        <w:spacing w:after="240" w:line="300" w:lineRule="atLeast"/>
        <w:rPr>
          <w:rFonts w:cs="Times New Roman"/>
        </w:rPr>
      </w:pPr>
    </w:p>
    <w:p w14:paraId="6A28F166" w14:textId="77777777" w:rsidR="00C7102D" w:rsidRPr="005F1973" w:rsidRDefault="00C7102D" w:rsidP="001007D2">
      <w:pPr>
        <w:autoSpaceDE w:val="0"/>
        <w:autoSpaceDN w:val="0"/>
        <w:adjustRightInd w:val="0"/>
        <w:spacing w:after="240" w:line="300" w:lineRule="atLeast"/>
        <w:rPr>
          <w:rFonts w:cs="Times New Roman"/>
        </w:rPr>
      </w:pPr>
    </w:p>
    <w:p w14:paraId="5E47F66E" w14:textId="77777777" w:rsidR="00C7102D" w:rsidRPr="005F1973" w:rsidRDefault="00C7102D" w:rsidP="001007D2">
      <w:pPr>
        <w:autoSpaceDE w:val="0"/>
        <w:autoSpaceDN w:val="0"/>
        <w:adjustRightInd w:val="0"/>
        <w:spacing w:after="240" w:line="300" w:lineRule="atLeast"/>
        <w:rPr>
          <w:rFonts w:cs="Times New Roman"/>
        </w:rPr>
      </w:pPr>
    </w:p>
    <w:p w14:paraId="06C7345C" w14:textId="77777777" w:rsidR="00C7102D" w:rsidRPr="005F1973" w:rsidRDefault="00C7102D" w:rsidP="001007D2">
      <w:pPr>
        <w:autoSpaceDE w:val="0"/>
        <w:autoSpaceDN w:val="0"/>
        <w:adjustRightInd w:val="0"/>
        <w:spacing w:after="240" w:line="300" w:lineRule="atLeast"/>
        <w:rPr>
          <w:rFonts w:cs="Times New Roman"/>
        </w:rPr>
      </w:pPr>
    </w:p>
    <w:p w14:paraId="4A0D08D4" w14:textId="4819743A" w:rsidR="00C7102D" w:rsidRPr="005F1973" w:rsidRDefault="00C7102D" w:rsidP="001007D2">
      <w:pPr>
        <w:autoSpaceDE w:val="0"/>
        <w:autoSpaceDN w:val="0"/>
        <w:adjustRightInd w:val="0"/>
        <w:spacing w:after="240" w:line="300" w:lineRule="atLeast"/>
        <w:rPr>
          <w:rFonts w:cs="Times New Roman"/>
        </w:rPr>
      </w:pPr>
    </w:p>
    <w:sectPr w:rsidR="00C7102D" w:rsidRPr="005F1973" w:rsidSect="009557C1">
      <w:footerReference w:type="default" r:id="rId9"/>
      <w:pgSz w:w="12240" w:h="15840"/>
      <w:pgMar w:top="1440" w:right="72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14B9D" w14:textId="77777777" w:rsidR="005D699F" w:rsidRDefault="005D699F" w:rsidP="005D699F">
      <w:r>
        <w:separator/>
      </w:r>
    </w:p>
  </w:endnote>
  <w:endnote w:type="continuationSeparator" w:id="0">
    <w:p w14:paraId="41D3DAF0" w14:textId="77777777" w:rsidR="005D699F" w:rsidRDefault="005D699F" w:rsidP="005D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9291" w14:textId="7C25DFF7" w:rsidR="005D699F" w:rsidRDefault="005D699F">
    <w:pPr>
      <w:pStyle w:val="Footer"/>
      <w:tabs>
        <w:tab w:val="clear" w:pos="4680"/>
        <w:tab w:val="clear" w:pos="9360"/>
      </w:tabs>
      <w:jc w:val="center"/>
      <w:rPr>
        <w:rFonts w:ascii="Times New Roman" w:hAnsi="Times New Roman" w:cs="Times New Roman"/>
        <w:caps/>
        <w:noProof/>
        <w:color w:val="4F81BD" w:themeColor="accent1"/>
        <w:sz w:val="24"/>
        <w:szCs w:val="24"/>
      </w:rPr>
    </w:pPr>
    <w:r w:rsidRPr="005D699F">
      <w:rPr>
        <w:rFonts w:ascii="Times New Roman" w:hAnsi="Times New Roman" w:cs="Times New Roman"/>
        <w:caps/>
        <w:color w:val="4F81BD" w:themeColor="accent1"/>
        <w:sz w:val="24"/>
        <w:szCs w:val="24"/>
      </w:rPr>
      <w:fldChar w:fldCharType="begin"/>
    </w:r>
    <w:r w:rsidRPr="005D699F">
      <w:rPr>
        <w:rFonts w:ascii="Times New Roman" w:hAnsi="Times New Roman" w:cs="Times New Roman"/>
        <w:caps/>
        <w:color w:val="4F81BD" w:themeColor="accent1"/>
        <w:sz w:val="24"/>
        <w:szCs w:val="24"/>
      </w:rPr>
      <w:instrText xml:space="preserve"> PAGE   \* MERGEFORMAT </w:instrText>
    </w:r>
    <w:r w:rsidRPr="005D699F">
      <w:rPr>
        <w:rFonts w:ascii="Times New Roman" w:hAnsi="Times New Roman" w:cs="Times New Roman"/>
        <w:caps/>
        <w:color w:val="4F81BD" w:themeColor="accent1"/>
        <w:sz w:val="24"/>
        <w:szCs w:val="24"/>
      </w:rPr>
      <w:fldChar w:fldCharType="separate"/>
    </w:r>
    <w:r w:rsidR="00D06D73">
      <w:rPr>
        <w:rFonts w:ascii="Times New Roman" w:hAnsi="Times New Roman" w:cs="Times New Roman"/>
        <w:caps/>
        <w:noProof/>
        <w:color w:val="4F81BD" w:themeColor="accent1"/>
        <w:sz w:val="24"/>
        <w:szCs w:val="24"/>
      </w:rPr>
      <w:t>8</w:t>
    </w:r>
    <w:r w:rsidRPr="005D699F">
      <w:rPr>
        <w:rFonts w:ascii="Times New Roman" w:hAnsi="Times New Roman" w:cs="Times New Roman"/>
        <w:caps/>
        <w:noProof/>
        <w:color w:val="4F81BD" w:themeColor="accent1"/>
        <w:sz w:val="24"/>
        <w:szCs w:val="24"/>
      </w:rPr>
      <w:fldChar w:fldCharType="end"/>
    </w:r>
  </w:p>
  <w:p w14:paraId="4855062B" w14:textId="1411D289" w:rsidR="005D699F" w:rsidRPr="005F1973" w:rsidRDefault="005004F0" w:rsidP="005004F0">
    <w:pPr>
      <w:autoSpaceDE w:val="0"/>
      <w:autoSpaceDN w:val="0"/>
      <w:adjustRightInd w:val="0"/>
      <w:spacing w:after="240" w:line="300" w:lineRule="atLeast"/>
      <w:ind w:left="5760"/>
      <w:rPr>
        <w:rFonts w:cs="Times New Roman"/>
        <w:color w:val="000000"/>
      </w:rPr>
    </w:pPr>
    <w:r w:rsidRPr="005F1973">
      <w:rPr>
        <w:rFonts w:cs="Times New Roman"/>
        <w:caps/>
        <w:noProof/>
        <w:color w:val="4F81BD" w:themeColor="accent1"/>
      </w:rPr>
      <w:tab/>
    </w:r>
    <w:r w:rsidRPr="005F1973">
      <w:rPr>
        <w:rFonts w:cs="Times New Roman"/>
        <w:caps/>
        <w:noProof/>
        <w:color w:val="4F81BD" w:themeColor="accent1"/>
      </w:rPr>
      <w:tab/>
    </w:r>
    <w:r w:rsidRPr="005F1973">
      <w:rPr>
        <w:rFonts w:cs="Times New Roman"/>
        <w:caps/>
        <w:noProof/>
        <w:color w:val="4F81BD" w:themeColor="accent1"/>
      </w:rPr>
      <w:tab/>
    </w:r>
    <w:r w:rsidRPr="005F1973">
      <w:rPr>
        <w:rFonts w:cs="Times New Roman"/>
        <w:caps/>
        <w:noProof/>
        <w:color w:val="4F81BD" w:themeColor="accent1"/>
      </w:rPr>
      <w:tab/>
    </w:r>
    <w:r w:rsidRPr="005F1973">
      <w:rPr>
        <w:rFonts w:cs="Times New Roman"/>
        <w:caps/>
        <w:noProof/>
        <w:color w:val="4F81BD" w:themeColor="accent1"/>
      </w:rPr>
      <w:tab/>
    </w:r>
    <w:r w:rsidRPr="005F1973">
      <w:rPr>
        <w:rFonts w:cs="Times New Roman"/>
        <w:caps/>
        <w:noProof/>
        <w:color w:val="4F81BD" w:themeColor="accent1"/>
      </w:rPr>
      <w:tab/>
    </w:r>
    <w:r w:rsidRPr="005F1973">
      <w:rPr>
        <w:rFonts w:cs="Times New Roman"/>
      </w:rPr>
      <w:t xml:space="preserve">Center for Children’s Advocacy </w:t>
    </w:r>
    <w:r w:rsidR="00647717">
      <w:rPr>
        <w:rFonts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DDE5" w14:textId="77777777" w:rsidR="005D699F" w:rsidRDefault="005D699F" w:rsidP="005D699F">
      <w:r>
        <w:separator/>
      </w:r>
    </w:p>
  </w:footnote>
  <w:footnote w:type="continuationSeparator" w:id="0">
    <w:p w14:paraId="10EE1F93" w14:textId="77777777" w:rsidR="005D699F" w:rsidRDefault="005D699F" w:rsidP="005D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AEE23BC"/>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7A966692"/>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4D24DDEC"/>
    <w:lvl w:ilvl="0" w:tplc="04090001">
      <w:start w:val="1"/>
      <w:numFmt w:val="bullet"/>
      <w:lvlText w:val=""/>
      <w:lvlJc w:val="left"/>
      <w:pPr>
        <w:ind w:left="1440" w:hanging="360"/>
      </w:pPr>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52225FD4"/>
    <w:lvl w:ilvl="0" w:tplc="04090001">
      <w:start w:val="1"/>
      <w:numFmt w:val="bullet"/>
      <w:lvlText w:val=""/>
      <w:lvlJc w:val="left"/>
      <w:pPr>
        <w:ind w:left="1440" w:hanging="360"/>
      </w:pPr>
      <w:rPr>
        <w:rFonts w:ascii="Symbol" w:hAnsi="Symbol" w:hint="default"/>
      </w:rPr>
    </w:lvl>
    <w:lvl w:ilvl="1" w:tplc="000001F6">
      <w:start w:val="1"/>
      <w:numFmt w:val="decimal"/>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901DD4"/>
    <w:multiLevelType w:val="hybridMultilevel"/>
    <w:tmpl w:val="EE2A8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DB4DAD"/>
    <w:multiLevelType w:val="hybridMultilevel"/>
    <w:tmpl w:val="472834B0"/>
    <w:lvl w:ilvl="0" w:tplc="04090001">
      <w:start w:val="1"/>
      <w:numFmt w:val="bullet"/>
      <w:lvlText w:val=""/>
      <w:lvlJc w:val="left"/>
      <w:pPr>
        <w:ind w:left="1440" w:hanging="360"/>
      </w:pPr>
      <w:rPr>
        <w:rFonts w:ascii="Symbol" w:hAnsi="Symbol" w:hint="default"/>
      </w:rPr>
    </w:lvl>
    <w:lvl w:ilvl="1" w:tplc="000001F6">
      <w:start w:val="1"/>
      <w:numFmt w:val="decimal"/>
      <w:lvlText w:val="%2."/>
      <w:lvlJc w:val="left"/>
      <w:pPr>
        <w:ind w:left="1440" w:hanging="360"/>
      </w:pPr>
    </w:lvl>
    <w:lvl w:ilvl="2" w:tplc="FFFFFFFF">
      <w:numFmt w:val="decimal"/>
      <w:lvlText w:val=""/>
      <w:lvlJc w:val="left"/>
    </w:lvl>
    <w:lvl w:ilvl="3" w:tplc="0409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BF2A58"/>
    <w:multiLevelType w:val="hybridMultilevel"/>
    <w:tmpl w:val="666C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46D39"/>
    <w:multiLevelType w:val="hybridMultilevel"/>
    <w:tmpl w:val="EB10715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7C"/>
    <w:rsid w:val="00083587"/>
    <w:rsid w:val="000B6E32"/>
    <w:rsid w:val="001007D2"/>
    <w:rsid w:val="0015091D"/>
    <w:rsid w:val="00151CCC"/>
    <w:rsid w:val="00197434"/>
    <w:rsid w:val="001B5B31"/>
    <w:rsid w:val="001C09C5"/>
    <w:rsid w:val="00225D14"/>
    <w:rsid w:val="00245528"/>
    <w:rsid w:val="002503A9"/>
    <w:rsid w:val="002A5030"/>
    <w:rsid w:val="002A6771"/>
    <w:rsid w:val="002B257C"/>
    <w:rsid w:val="002E39EE"/>
    <w:rsid w:val="002E6A8F"/>
    <w:rsid w:val="0030674C"/>
    <w:rsid w:val="00341DDC"/>
    <w:rsid w:val="00395E42"/>
    <w:rsid w:val="00397140"/>
    <w:rsid w:val="003B1743"/>
    <w:rsid w:val="003B6F0F"/>
    <w:rsid w:val="003E3400"/>
    <w:rsid w:val="00403343"/>
    <w:rsid w:val="00404C9D"/>
    <w:rsid w:val="00404E52"/>
    <w:rsid w:val="004152C3"/>
    <w:rsid w:val="00427EC3"/>
    <w:rsid w:val="00433A7A"/>
    <w:rsid w:val="00445A35"/>
    <w:rsid w:val="005004F0"/>
    <w:rsid w:val="00531C53"/>
    <w:rsid w:val="00542780"/>
    <w:rsid w:val="00583442"/>
    <w:rsid w:val="005D699F"/>
    <w:rsid w:val="005F0AF6"/>
    <w:rsid w:val="005F0E58"/>
    <w:rsid w:val="005F1973"/>
    <w:rsid w:val="0061271B"/>
    <w:rsid w:val="006347AE"/>
    <w:rsid w:val="00647717"/>
    <w:rsid w:val="00684329"/>
    <w:rsid w:val="00694FAF"/>
    <w:rsid w:val="006B1DCD"/>
    <w:rsid w:val="006C068A"/>
    <w:rsid w:val="006C3592"/>
    <w:rsid w:val="006D7690"/>
    <w:rsid w:val="006F0746"/>
    <w:rsid w:val="006F13D8"/>
    <w:rsid w:val="00706E38"/>
    <w:rsid w:val="0072366C"/>
    <w:rsid w:val="007328CF"/>
    <w:rsid w:val="007B2BD1"/>
    <w:rsid w:val="007B36FF"/>
    <w:rsid w:val="007F28E0"/>
    <w:rsid w:val="007F61BE"/>
    <w:rsid w:val="00833548"/>
    <w:rsid w:val="00891824"/>
    <w:rsid w:val="008E2169"/>
    <w:rsid w:val="008F7AAF"/>
    <w:rsid w:val="00902A83"/>
    <w:rsid w:val="009160E9"/>
    <w:rsid w:val="009557C1"/>
    <w:rsid w:val="0097545A"/>
    <w:rsid w:val="009F5689"/>
    <w:rsid w:val="009F58D9"/>
    <w:rsid w:val="00A01771"/>
    <w:rsid w:val="00A81BAC"/>
    <w:rsid w:val="00AC46AE"/>
    <w:rsid w:val="00B23F13"/>
    <w:rsid w:val="00B41AB2"/>
    <w:rsid w:val="00B43E65"/>
    <w:rsid w:val="00B71472"/>
    <w:rsid w:val="00B745D8"/>
    <w:rsid w:val="00B9607A"/>
    <w:rsid w:val="00BA6BAE"/>
    <w:rsid w:val="00BC2156"/>
    <w:rsid w:val="00BD2DEE"/>
    <w:rsid w:val="00BF480F"/>
    <w:rsid w:val="00C050F7"/>
    <w:rsid w:val="00C7102D"/>
    <w:rsid w:val="00C86137"/>
    <w:rsid w:val="00CA0BBD"/>
    <w:rsid w:val="00CE1DCD"/>
    <w:rsid w:val="00CF0893"/>
    <w:rsid w:val="00CF14C6"/>
    <w:rsid w:val="00D06D73"/>
    <w:rsid w:val="00D2065A"/>
    <w:rsid w:val="00D50B6D"/>
    <w:rsid w:val="00D527ED"/>
    <w:rsid w:val="00D54A0A"/>
    <w:rsid w:val="00DC68F1"/>
    <w:rsid w:val="00E35641"/>
    <w:rsid w:val="00E554E8"/>
    <w:rsid w:val="00E964F2"/>
    <w:rsid w:val="00EF3F48"/>
    <w:rsid w:val="00F025CA"/>
    <w:rsid w:val="00F25241"/>
    <w:rsid w:val="00F75AD2"/>
    <w:rsid w:val="00FB0D2B"/>
    <w:rsid w:val="00FD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2C0A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1DCD"/>
  </w:style>
  <w:style w:type="paragraph" w:styleId="Heading1">
    <w:name w:val="heading 1"/>
    <w:basedOn w:val="Normal"/>
    <w:link w:val="Heading1Char"/>
    <w:uiPriority w:val="1"/>
    <w:qFormat/>
    <w:rsid w:val="00CE1DCD"/>
    <w:pPr>
      <w:ind w:left="20"/>
      <w:outlineLvl w:val="0"/>
    </w:pPr>
    <w:rPr>
      <w:rFonts w:ascii="Arial" w:eastAsia="Arial" w:hAnsi="Arial"/>
      <w:b/>
      <w:bCs/>
      <w:sz w:val="28"/>
      <w:szCs w:val="28"/>
    </w:rPr>
  </w:style>
  <w:style w:type="paragraph" w:styleId="Heading2">
    <w:name w:val="heading 2"/>
    <w:basedOn w:val="Normal"/>
    <w:link w:val="Heading2Char"/>
    <w:uiPriority w:val="1"/>
    <w:qFormat/>
    <w:rsid w:val="00CE1DCD"/>
    <w:pPr>
      <w:ind w:left="20"/>
      <w:outlineLvl w:val="1"/>
    </w:pPr>
    <w:rPr>
      <w:rFonts w:ascii="Arial" w:eastAsia="Arial" w:hAnsi="Arial"/>
      <w:b/>
      <w:bCs/>
      <w:sz w:val="24"/>
      <w:szCs w:val="24"/>
    </w:rPr>
  </w:style>
  <w:style w:type="paragraph" w:styleId="Heading3">
    <w:name w:val="heading 3"/>
    <w:basedOn w:val="Normal"/>
    <w:link w:val="Heading3Char"/>
    <w:uiPriority w:val="1"/>
    <w:qFormat/>
    <w:rsid w:val="00CE1DCD"/>
    <w:pPr>
      <w:ind w:left="720"/>
      <w:outlineLvl w:val="2"/>
    </w:pPr>
    <w:rPr>
      <w:rFonts w:ascii="Arial" w:eastAsia="Arial" w:hAnsi="Arial"/>
      <w:b/>
      <w:bCs/>
    </w:rPr>
  </w:style>
  <w:style w:type="paragraph" w:styleId="Heading4">
    <w:name w:val="heading 4"/>
    <w:basedOn w:val="Normal"/>
    <w:link w:val="Heading4Char"/>
    <w:uiPriority w:val="1"/>
    <w:qFormat/>
    <w:rsid w:val="00CE1DCD"/>
    <w:pPr>
      <w:ind w:left="575" w:hanging="360"/>
      <w:outlineLvl w:val="3"/>
    </w:pPr>
    <w:rPr>
      <w:rFonts w:ascii="Arial" w:eastAsia="Arial" w:hAnsi="Arial"/>
    </w:rPr>
  </w:style>
  <w:style w:type="paragraph" w:styleId="Heading5">
    <w:name w:val="heading 5"/>
    <w:basedOn w:val="Normal"/>
    <w:link w:val="Heading5Char"/>
    <w:uiPriority w:val="1"/>
    <w:qFormat/>
    <w:rsid w:val="00CE1DCD"/>
    <w:pPr>
      <w:ind w:left="720"/>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E1DCD"/>
  </w:style>
  <w:style w:type="character" w:customStyle="1" w:styleId="Heading1Char">
    <w:name w:val="Heading 1 Char"/>
    <w:basedOn w:val="DefaultParagraphFont"/>
    <w:link w:val="Heading1"/>
    <w:uiPriority w:val="1"/>
    <w:rsid w:val="00CE1DCD"/>
    <w:rPr>
      <w:rFonts w:ascii="Arial" w:eastAsia="Arial" w:hAnsi="Arial"/>
      <w:b/>
      <w:bCs/>
      <w:sz w:val="28"/>
      <w:szCs w:val="28"/>
    </w:rPr>
  </w:style>
  <w:style w:type="character" w:customStyle="1" w:styleId="Heading2Char">
    <w:name w:val="Heading 2 Char"/>
    <w:basedOn w:val="DefaultParagraphFont"/>
    <w:link w:val="Heading2"/>
    <w:uiPriority w:val="1"/>
    <w:rsid w:val="00CE1DCD"/>
    <w:rPr>
      <w:rFonts w:ascii="Arial" w:eastAsia="Arial" w:hAnsi="Arial"/>
      <w:b/>
      <w:bCs/>
      <w:sz w:val="24"/>
      <w:szCs w:val="24"/>
    </w:rPr>
  </w:style>
  <w:style w:type="character" w:customStyle="1" w:styleId="Heading3Char">
    <w:name w:val="Heading 3 Char"/>
    <w:basedOn w:val="DefaultParagraphFont"/>
    <w:link w:val="Heading3"/>
    <w:uiPriority w:val="1"/>
    <w:rsid w:val="00CE1DCD"/>
    <w:rPr>
      <w:rFonts w:ascii="Arial" w:eastAsia="Arial" w:hAnsi="Arial"/>
      <w:b/>
      <w:bCs/>
    </w:rPr>
  </w:style>
  <w:style w:type="character" w:customStyle="1" w:styleId="Heading4Char">
    <w:name w:val="Heading 4 Char"/>
    <w:basedOn w:val="DefaultParagraphFont"/>
    <w:link w:val="Heading4"/>
    <w:uiPriority w:val="1"/>
    <w:rsid w:val="00CE1DCD"/>
    <w:rPr>
      <w:rFonts w:ascii="Arial" w:eastAsia="Arial" w:hAnsi="Arial"/>
    </w:rPr>
  </w:style>
  <w:style w:type="character" w:customStyle="1" w:styleId="Heading5Char">
    <w:name w:val="Heading 5 Char"/>
    <w:basedOn w:val="DefaultParagraphFont"/>
    <w:link w:val="Heading5"/>
    <w:uiPriority w:val="1"/>
    <w:rsid w:val="00CE1DCD"/>
    <w:rPr>
      <w:rFonts w:ascii="Arial" w:eastAsia="Arial" w:hAnsi="Arial"/>
      <w:b/>
      <w:bCs/>
      <w:sz w:val="20"/>
      <w:szCs w:val="20"/>
    </w:rPr>
  </w:style>
  <w:style w:type="paragraph" w:styleId="TOC1">
    <w:name w:val="toc 1"/>
    <w:basedOn w:val="Normal"/>
    <w:uiPriority w:val="1"/>
    <w:qFormat/>
    <w:rsid w:val="00CE1DCD"/>
    <w:pPr>
      <w:spacing w:before="170"/>
      <w:ind w:left="859"/>
    </w:pPr>
    <w:rPr>
      <w:rFonts w:ascii="Arial" w:eastAsia="Arial" w:hAnsi="Arial"/>
      <w:sz w:val="20"/>
      <w:szCs w:val="20"/>
    </w:rPr>
  </w:style>
  <w:style w:type="paragraph" w:styleId="TOC2">
    <w:name w:val="toc 2"/>
    <w:basedOn w:val="Normal"/>
    <w:uiPriority w:val="1"/>
    <w:qFormat/>
    <w:rsid w:val="00CE1DCD"/>
    <w:pPr>
      <w:spacing w:before="551"/>
      <w:ind w:left="860"/>
    </w:pPr>
    <w:rPr>
      <w:rFonts w:ascii="Arial" w:eastAsia="Arial" w:hAnsi="Arial"/>
      <w:b/>
      <w:bCs/>
    </w:rPr>
  </w:style>
  <w:style w:type="paragraph" w:styleId="TOC3">
    <w:name w:val="toc 3"/>
    <w:basedOn w:val="Normal"/>
    <w:uiPriority w:val="1"/>
    <w:qFormat/>
    <w:rsid w:val="00CE1DCD"/>
    <w:pPr>
      <w:spacing w:before="170"/>
      <w:ind w:left="860"/>
    </w:pPr>
    <w:rPr>
      <w:rFonts w:ascii="Arial" w:eastAsia="Arial" w:hAnsi="Arial"/>
      <w:sz w:val="20"/>
      <w:szCs w:val="20"/>
    </w:rPr>
  </w:style>
  <w:style w:type="paragraph" w:styleId="TOC4">
    <w:name w:val="toc 4"/>
    <w:basedOn w:val="Normal"/>
    <w:uiPriority w:val="1"/>
    <w:qFormat/>
    <w:rsid w:val="00CE1DCD"/>
    <w:pPr>
      <w:spacing w:before="501"/>
      <w:ind w:left="860"/>
    </w:pPr>
    <w:rPr>
      <w:rFonts w:ascii="Arial" w:eastAsia="Arial" w:hAnsi="Arial"/>
      <w:b/>
      <w:bCs/>
      <w:i/>
    </w:rPr>
  </w:style>
  <w:style w:type="paragraph" w:styleId="BodyText">
    <w:name w:val="Body Text"/>
    <w:basedOn w:val="Normal"/>
    <w:link w:val="BodyTextChar"/>
    <w:uiPriority w:val="1"/>
    <w:qFormat/>
    <w:rsid w:val="00CE1DCD"/>
    <w:pPr>
      <w:ind w:left="720"/>
    </w:pPr>
    <w:rPr>
      <w:rFonts w:ascii="Arial" w:eastAsia="Arial" w:hAnsi="Arial"/>
      <w:sz w:val="20"/>
      <w:szCs w:val="20"/>
    </w:rPr>
  </w:style>
  <w:style w:type="character" w:customStyle="1" w:styleId="BodyTextChar">
    <w:name w:val="Body Text Char"/>
    <w:basedOn w:val="DefaultParagraphFont"/>
    <w:link w:val="BodyText"/>
    <w:uiPriority w:val="1"/>
    <w:rsid w:val="00CE1DCD"/>
    <w:rPr>
      <w:rFonts w:ascii="Arial" w:eastAsia="Arial" w:hAnsi="Arial"/>
      <w:sz w:val="20"/>
      <w:szCs w:val="20"/>
    </w:rPr>
  </w:style>
  <w:style w:type="paragraph" w:styleId="ListParagraph">
    <w:name w:val="List Paragraph"/>
    <w:basedOn w:val="Normal"/>
    <w:uiPriority w:val="1"/>
    <w:qFormat/>
    <w:rsid w:val="00CE1DCD"/>
  </w:style>
  <w:style w:type="character" w:styleId="Hyperlink">
    <w:name w:val="Hyperlink"/>
    <w:basedOn w:val="DefaultParagraphFont"/>
    <w:uiPriority w:val="99"/>
    <w:semiHidden/>
    <w:unhideWhenUsed/>
    <w:rsid w:val="00684329"/>
    <w:rPr>
      <w:color w:val="0000FF"/>
      <w:u w:val="single"/>
    </w:rPr>
  </w:style>
  <w:style w:type="character" w:styleId="Emphasis">
    <w:name w:val="Emphasis"/>
    <w:basedOn w:val="DefaultParagraphFont"/>
    <w:uiPriority w:val="20"/>
    <w:qFormat/>
    <w:rsid w:val="00684329"/>
    <w:rPr>
      <w:i/>
      <w:iCs/>
    </w:rPr>
  </w:style>
  <w:style w:type="character" w:customStyle="1" w:styleId="apple-converted-space">
    <w:name w:val="apple-converted-space"/>
    <w:basedOn w:val="DefaultParagraphFont"/>
    <w:rsid w:val="00684329"/>
  </w:style>
  <w:style w:type="paragraph" w:styleId="BalloonText">
    <w:name w:val="Balloon Text"/>
    <w:basedOn w:val="Normal"/>
    <w:link w:val="BalloonTextChar"/>
    <w:uiPriority w:val="99"/>
    <w:semiHidden/>
    <w:unhideWhenUsed/>
    <w:rsid w:val="00955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C1"/>
    <w:rPr>
      <w:rFonts w:ascii="Segoe UI" w:hAnsi="Segoe UI" w:cs="Segoe UI"/>
      <w:sz w:val="18"/>
      <w:szCs w:val="18"/>
    </w:rPr>
  </w:style>
  <w:style w:type="paragraph" w:styleId="Header">
    <w:name w:val="header"/>
    <w:basedOn w:val="Normal"/>
    <w:link w:val="HeaderChar"/>
    <w:uiPriority w:val="99"/>
    <w:unhideWhenUsed/>
    <w:rsid w:val="005D699F"/>
    <w:pPr>
      <w:tabs>
        <w:tab w:val="center" w:pos="4680"/>
        <w:tab w:val="right" w:pos="9360"/>
      </w:tabs>
    </w:pPr>
  </w:style>
  <w:style w:type="character" w:customStyle="1" w:styleId="HeaderChar">
    <w:name w:val="Header Char"/>
    <w:basedOn w:val="DefaultParagraphFont"/>
    <w:link w:val="Header"/>
    <w:uiPriority w:val="99"/>
    <w:rsid w:val="005D699F"/>
  </w:style>
  <w:style w:type="paragraph" w:styleId="Footer">
    <w:name w:val="footer"/>
    <w:basedOn w:val="Normal"/>
    <w:link w:val="FooterChar"/>
    <w:uiPriority w:val="99"/>
    <w:unhideWhenUsed/>
    <w:rsid w:val="005D699F"/>
    <w:pPr>
      <w:tabs>
        <w:tab w:val="center" w:pos="4680"/>
        <w:tab w:val="right" w:pos="9360"/>
      </w:tabs>
    </w:pPr>
  </w:style>
  <w:style w:type="character" w:customStyle="1" w:styleId="FooterChar">
    <w:name w:val="Footer Char"/>
    <w:basedOn w:val="DefaultParagraphFont"/>
    <w:link w:val="Footer"/>
    <w:uiPriority w:val="99"/>
    <w:rsid w:val="005D699F"/>
  </w:style>
  <w:style w:type="paragraph" w:customStyle="1" w:styleId="Style1">
    <w:name w:val="Style1"/>
    <w:basedOn w:val="Normal"/>
    <w:link w:val="Style1Char"/>
    <w:autoRedefine/>
    <w:qFormat/>
    <w:rsid w:val="005F1973"/>
    <w:pPr>
      <w:widowControl/>
      <w:spacing w:before="240"/>
    </w:pPr>
    <w:rPr>
      <w:rFonts w:eastAsia="Calibri" w:cs="Times New Roman"/>
      <w:b/>
      <w:color w:val="00B0F0"/>
      <w:sz w:val="24"/>
      <w:szCs w:val="24"/>
    </w:rPr>
  </w:style>
  <w:style w:type="character" w:customStyle="1" w:styleId="Style1Char">
    <w:name w:val="Style1 Char"/>
    <w:link w:val="Style1"/>
    <w:rsid w:val="005F1973"/>
    <w:rPr>
      <w:rFonts w:eastAsia="Calibri" w:cs="Times New Roman"/>
      <w:b/>
      <w:color w:val="00B0F0"/>
      <w:sz w:val="24"/>
      <w:szCs w:val="24"/>
    </w:rPr>
  </w:style>
  <w:style w:type="paragraph" w:styleId="NoSpacing">
    <w:name w:val="No Spacing"/>
    <w:uiPriority w:val="1"/>
    <w:qFormat/>
    <w:rsid w:val="0022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55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F106-C1E0-4E2B-9201-DDF1B491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Center for Children's Advocacy</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Chorost</dc:creator>
  <cp:keywords/>
  <dc:description/>
  <cp:lastModifiedBy>Stacy Schleif</cp:lastModifiedBy>
  <cp:revision>2</cp:revision>
  <cp:lastPrinted>2019-09-19T18:47:00Z</cp:lastPrinted>
  <dcterms:created xsi:type="dcterms:W3CDTF">2020-07-21T20:52:00Z</dcterms:created>
  <dcterms:modified xsi:type="dcterms:W3CDTF">2020-07-21T20:52:00Z</dcterms:modified>
</cp:coreProperties>
</file>