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BADF63" w14:textId="77777777" w:rsidR="00430EA6" w:rsidRPr="008D0730" w:rsidRDefault="00790C02" w:rsidP="008D0730">
      <w:pPr>
        <w:rPr>
          <w:rFonts w:eastAsia="Times New Roman"/>
          <w:color w:val="0000FF"/>
          <w:szCs w:val="20"/>
        </w:rPr>
      </w:pPr>
      <w:r>
        <w:rPr>
          <w:noProof/>
        </w:rPr>
        <mc:AlternateContent>
          <mc:Choice Requires="wps">
            <w:drawing>
              <wp:anchor distT="0" distB="0" distL="114300" distR="114300" simplePos="0" relativeHeight="251657728" behindDoc="0" locked="0" layoutInCell="1" allowOverlap="1" wp14:anchorId="62094D14" wp14:editId="19DED7CD">
                <wp:simplePos x="0" y="0"/>
                <wp:positionH relativeFrom="column">
                  <wp:posOffset>-139065</wp:posOffset>
                </wp:positionH>
                <wp:positionV relativeFrom="paragraph">
                  <wp:posOffset>-695325</wp:posOffset>
                </wp:positionV>
                <wp:extent cx="5943600" cy="1243330"/>
                <wp:effectExtent l="3810" t="0" r="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4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D8C7A" w14:textId="77777777" w:rsidR="003A5C72" w:rsidRDefault="003A5C72">
                            <w:r w:rsidRPr="0081277D">
                              <w:rPr>
                                <w:noProof/>
                              </w:rPr>
                              <w:drawing>
                                <wp:inline distT="0" distB="0" distL="0" distR="0" wp14:anchorId="1B7B3B49" wp14:editId="619E1DB5">
                                  <wp:extent cx="641032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094D14" id="_x0000_t202" coordsize="21600,21600" o:spt="202" path="m,l,21600r21600,l21600,xe">
                <v:stroke joinstyle="miter"/>
                <v:path gradientshapeok="t" o:connecttype="rect"/>
              </v:shapetype>
              <v:shape id="Text Box 6" o:spid="_x0000_s1026" type="#_x0000_t202" style="position:absolute;margin-left:-10.95pt;margin-top:-54.75pt;width:468pt;height:97.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" stroked="f">
                <v:textbox style="mso-fit-shape-to-text:t">
                  <w:txbxContent>
                    <w:p w14:paraId="51FD8C7A" w14:textId="77777777" w:rsidR="003A5C72" w:rsidRDefault="003A5C72">
                      <w:r w:rsidRPr="0081277D">
                        <w:rPr>
                          <w:noProof/>
                        </w:rPr>
                        <w:drawing>
                          <wp:inline distT="0" distB="0" distL="0" distR="0" wp14:anchorId="1B7B3B49" wp14:editId="619E1DB5">
                            <wp:extent cx="641032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1152525"/>
                                    </a:xfrm>
                                    <a:prstGeom prst="rect">
                                      <a:avLst/>
                                    </a:prstGeom>
                                    <a:noFill/>
                                    <a:ln>
                                      <a:noFill/>
                                    </a:ln>
                                  </pic:spPr>
                                </pic:pic>
                              </a:graphicData>
                            </a:graphic>
                          </wp:inline>
                        </w:drawing>
                      </w:r>
                    </w:p>
                  </w:txbxContent>
                </v:textbox>
              </v:shape>
            </w:pict>
          </mc:Fallback>
        </mc:AlternateContent>
      </w:r>
      <w:r w:rsidR="00124B5C">
        <w:t>\</w:t>
      </w:r>
    </w:p>
    <w:p w14:paraId="6818BFEA" w14:textId="77777777" w:rsidR="008D0730" w:rsidRDefault="008D0730" w:rsidP="00582A73">
      <w:pPr>
        <w:tabs>
          <w:tab w:val="left" w:pos="3600"/>
        </w:tabs>
        <w:jc w:val="both"/>
        <w:rPr>
          <w:rFonts w:eastAsia="Times New Roman"/>
          <w:szCs w:val="20"/>
        </w:rPr>
      </w:pPr>
    </w:p>
    <w:p w14:paraId="188763E1" w14:textId="77777777" w:rsidR="008D0730" w:rsidRDefault="008D0730" w:rsidP="00582A73">
      <w:pPr>
        <w:tabs>
          <w:tab w:val="left" w:pos="3600"/>
        </w:tabs>
        <w:jc w:val="both"/>
        <w:rPr>
          <w:rFonts w:eastAsia="Times New Roman"/>
          <w:szCs w:val="20"/>
        </w:rPr>
      </w:pPr>
    </w:p>
    <w:p w14:paraId="734E7D1B" w14:textId="252656CD" w:rsidR="008D0730" w:rsidRDefault="008D0730" w:rsidP="00582A73">
      <w:pPr>
        <w:tabs>
          <w:tab w:val="left" w:pos="3600"/>
        </w:tabs>
        <w:jc w:val="both"/>
        <w:rPr>
          <w:rFonts w:eastAsia="Times New Roman"/>
          <w:szCs w:val="20"/>
        </w:rPr>
      </w:pPr>
    </w:p>
    <w:p w14:paraId="25226474" w14:textId="0915AA4C" w:rsidR="007963AD" w:rsidRDefault="00430EA6" w:rsidP="00582A73">
      <w:pPr>
        <w:tabs>
          <w:tab w:val="left" w:pos="3600"/>
        </w:tabs>
        <w:jc w:val="both"/>
        <w:rPr>
          <w:rFonts w:eastAsia="Times New Roman"/>
          <w:szCs w:val="20"/>
        </w:rPr>
      </w:pPr>
      <w:r>
        <w:rPr>
          <w:rFonts w:eastAsia="Times New Roman"/>
          <w:szCs w:val="20"/>
        </w:rPr>
        <w:tab/>
      </w:r>
      <w:r w:rsidR="00793D65">
        <w:rPr>
          <w:rFonts w:eastAsia="Times New Roman"/>
          <w:szCs w:val="20"/>
        </w:rPr>
        <w:t>September</w:t>
      </w:r>
      <w:r w:rsidR="00170044">
        <w:rPr>
          <w:rFonts w:eastAsia="Times New Roman"/>
          <w:szCs w:val="20"/>
        </w:rPr>
        <w:t xml:space="preserve"> </w:t>
      </w:r>
      <w:r w:rsidR="009F6DED">
        <w:rPr>
          <w:rFonts w:eastAsia="Times New Roman"/>
          <w:szCs w:val="20"/>
        </w:rPr>
        <w:t>2</w:t>
      </w:r>
      <w:r w:rsidR="007C1591">
        <w:rPr>
          <w:rFonts w:eastAsia="Times New Roman"/>
          <w:szCs w:val="20"/>
        </w:rPr>
        <w:t>, 2020</w:t>
      </w:r>
    </w:p>
    <w:p w14:paraId="3374827E" w14:textId="77777777" w:rsidR="00582A73" w:rsidRPr="00582A73" w:rsidRDefault="007963AD" w:rsidP="00582A73">
      <w:pPr>
        <w:tabs>
          <w:tab w:val="left" w:pos="3600"/>
        </w:tabs>
        <w:jc w:val="both"/>
        <w:rPr>
          <w:rFonts w:eastAsia="Times New Roman"/>
          <w:szCs w:val="20"/>
        </w:rPr>
      </w:pPr>
      <w:r>
        <w:rPr>
          <w:rFonts w:eastAsia="Times New Roman"/>
          <w:szCs w:val="20"/>
        </w:rPr>
        <w:tab/>
      </w:r>
      <w:r w:rsidR="00582A73" w:rsidRPr="00582A73">
        <w:rPr>
          <w:rFonts w:eastAsia="Times New Roman"/>
          <w:szCs w:val="20"/>
        </w:rPr>
        <w:t>In reply, please refer to:</w:t>
      </w:r>
    </w:p>
    <w:p w14:paraId="0628BF02" w14:textId="1BC416E2" w:rsidR="00136754" w:rsidRDefault="00582A73" w:rsidP="00582A73">
      <w:pPr>
        <w:tabs>
          <w:tab w:val="left" w:pos="3600"/>
        </w:tabs>
        <w:jc w:val="both"/>
        <w:rPr>
          <w:rFonts w:eastAsia="Times New Roman"/>
          <w:szCs w:val="20"/>
          <w:lang w:val="es-PR"/>
        </w:rPr>
      </w:pPr>
      <w:r w:rsidRPr="00090318">
        <w:rPr>
          <w:rFonts w:eastAsia="Times New Roman"/>
          <w:szCs w:val="20"/>
        </w:rPr>
        <w:tab/>
        <w:t>Docket</w:t>
      </w:r>
      <w:r w:rsidRPr="00597FD0">
        <w:rPr>
          <w:rFonts w:eastAsia="Times New Roman"/>
          <w:szCs w:val="20"/>
          <w:lang w:val="es-PR"/>
        </w:rPr>
        <w:t xml:space="preserve"> No. </w:t>
      </w:r>
      <w:r w:rsidR="00090318">
        <w:rPr>
          <w:rFonts w:eastAsia="Times New Roman"/>
          <w:szCs w:val="20"/>
          <w:lang w:val="es-PR"/>
        </w:rPr>
        <w:t>20-03-15</w:t>
      </w:r>
    </w:p>
    <w:p w14:paraId="4CAE974B" w14:textId="33531D7B" w:rsidR="00B84E8E" w:rsidRPr="00F11A7E" w:rsidRDefault="00B84E8E" w:rsidP="00582A73">
      <w:pPr>
        <w:tabs>
          <w:tab w:val="left" w:pos="3600"/>
        </w:tabs>
        <w:jc w:val="both"/>
        <w:rPr>
          <w:rFonts w:eastAsia="Times New Roman"/>
          <w:color w:val="000000"/>
          <w:szCs w:val="20"/>
          <w:lang w:val="es-PR"/>
        </w:rPr>
      </w:pPr>
      <w:r>
        <w:rPr>
          <w:rFonts w:eastAsia="Times New Roman"/>
          <w:szCs w:val="20"/>
          <w:lang w:val="es-PR"/>
        </w:rPr>
        <w:tab/>
      </w:r>
      <w:r w:rsidRPr="00107743">
        <w:rPr>
          <w:rFonts w:eastAsia="Times New Roman"/>
          <w:szCs w:val="20"/>
        </w:rPr>
        <w:t>Motion</w:t>
      </w:r>
      <w:r>
        <w:rPr>
          <w:rFonts w:eastAsia="Times New Roman"/>
          <w:szCs w:val="20"/>
          <w:lang w:val="es-PR"/>
        </w:rPr>
        <w:t xml:space="preserve"> No. </w:t>
      </w:r>
      <w:r w:rsidR="00793D65">
        <w:rPr>
          <w:rFonts w:eastAsia="Times New Roman"/>
          <w:szCs w:val="20"/>
          <w:lang w:val="es-PR"/>
        </w:rPr>
        <w:t>9</w:t>
      </w:r>
    </w:p>
    <w:p w14:paraId="49B48937" w14:textId="7A3EF751" w:rsidR="00893452" w:rsidRDefault="00793D65" w:rsidP="00136754">
      <w:pPr>
        <w:tabs>
          <w:tab w:val="left" w:pos="-90"/>
        </w:tabs>
        <w:jc w:val="both"/>
        <w:rPr>
          <w:rFonts w:eastAsia="Times New Roman"/>
          <w:color w:val="000000"/>
          <w:szCs w:val="20"/>
        </w:rPr>
      </w:pPr>
      <w:r>
        <w:rPr>
          <w:rFonts w:eastAsia="Times New Roman"/>
          <w:color w:val="000000"/>
          <w:szCs w:val="20"/>
        </w:rPr>
        <w:t xml:space="preserve">Bonnie Roswig, Esq. </w:t>
      </w:r>
    </w:p>
    <w:p w14:paraId="5CA2E179" w14:textId="3B2850FC" w:rsidR="00793D65" w:rsidRDefault="00793D65" w:rsidP="00136754">
      <w:pPr>
        <w:tabs>
          <w:tab w:val="left" w:pos="-90"/>
        </w:tabs>
        <w:jc w:val="both"/>
        <w:rPr>
          <w:rFonts w:eastAsia="Times New Roman"/>
          <w:color w:val="000000"/>
          <w:szCs w:val="20"/>
        </w:rPr>
      </w:pPr>
      <w:r>
        <w:rPr>
          <w:rFonts w:eastAsia="Times New Roman"/>
          <w:color w:val="000000"/>
          <w:szCs w:val="20"/>
        </w:rPr>
        <w:t>Center for Children’s Advocacy</w:t>
      </w:r>
    </w:p>
    <w:p w14:paraId="14B7B568" w14:textId="7DE923EF" w:rsidR="00793D65" w:rsidRDefault="00793D65" w:rsidP="00136754">
      <w:pPr>
        <w:tabs>
          <w:tab w:val="left" w:pos="-90"/>
        </w:tabs>
        <w:jc w:val="both"/>
        <w:rPr>
          <w:rFonts w:eastAsia="Times New Roman"/>
          <w:color w:val="000000"/>
          <w:szCs w:val="20"/>
        </w:rPr>
      </w:pPr>
      <w:r>
        <w:rPr>
          <w:rFonts w:eastAsia="Times New Roman"/>
          <w:color w:val="000000"/>
          <w:szCs w:val="20"/>
        </w:rPr>
        <w:t>65 Elizabeth Street</w:t>
      </w:r>
    </w:p>
    <w:p w14:paraId="7414816E" w14:textId="5E14BF56" w:rsidR="00793D65" w:rsidRDefault="00793D65" w:rsidP="00136754">
      <w:pPr>
        <w:tabs>
          <w:tab w:val="left" w:pos="-90"/>
        </w:tabs>
        <w:jc w:val="both"/>
        <w:rPr>
          <w:rFonts w:eastAsia="Times New Roman"/>
          <w:color w:val="000000"/>
          <w:szCs w:val="20"/>
        </w:rPr>
      </w:pPr>
      <w:r>
        <w:rPr>
          <w:rFonts w:eastAsia="Times New Roman"/>
          <w:color w:val="000000"/>
          <w:szCs w:val="20"/>
        </w:rPr>
        <w:t>Hartford, CT 06105</w:t>
      </w:r>
    </w:p>
    <w:p w14:paraId="5CFD368F" w14:textId="7922F080" w:rsidR="00793D65" w:rsidRDefault="00793D65" w:rsidP="00136754">
      <w:pPr>
        <w:tabs>
          <w:tab w:val="left" w:pos="-90"/>
        </w:tabs>
        <w:jc w:val="both"/>
        <w:rPr>
          <w:rFonts w:eastAsia="Times New Roman"/>
          <w:color w:val="000000"/>
          <w:szCs w:val="20"/>
        </w:rPr>
      </w:pPr>
    </w:p>
    <w:p w14:paraId="4C715590" w14:textId="3269E8C7" w:rsidR="00793D65" w:rsidRDefault="00793D65" w:rsidP="00136754">
      <w:pPr>
        <w:tabs>
          <w:tab w:val="left" w:pos="-90"/>
        </w:tabs>
        <w:jc w:val="both"/>
        <w:rPr>
          <w:rFonts w:eastAsia="Times New Roman"/>
          <w:color w:val="000000"/>
          <w:szCs w:val="20"/>
        </w:rPr>
      </w:pPr>
      <w:r>
        <w:rPr>
          <w:rFonts w:eastAsia="Times New Roman"/>
          <w:color w:val="000000"/>
          <w:szCs w:val="20"/>
        </w:rPr>
        <w:t xml:space="preserve">Wendy W. </w:t>
      </w:r>
      <w:proofErr w:type="spellStart"/>
      <w:r>
        <w:rPr>
          <w:rFonts w:eastAsia="Times New Roman"/>
          <w:color w:val="000000"/>
          <w:szCs w:val="20"/>
        </w:rPr>
        <w:t>Wanchak</w:t>
      </w:r>
      <w:proofErr w:type="spellEnd"/>
      <w:r>
        <w:rPr>
          <w:rFonts w:eastAsia="Times New Roman"/>
          <w:color w:val="000000"/>
          <w:szCs w:val="20"/>
        </w:rPr>
        <w:t xml:space="preserve">, Esq. </w:t>
      </w:r>
    </w:p>
    <w:p w14:paraId="2413F329" w14:textId="69AAE6A9" w:rsidR="00793D65" w:rsidRDefault="00793D65" w:rsidP="00136754">
      <w:pPr>
        <w:tabs>
          <w:tab w:val="left" w:pos="-90"/>
        </w:tabs>
        <w:jc w:val="both"/>
        <w:rPr>
          <w:rFonts w:eastAsia="Times New Roman"/>
          <w:color w:val="000000"/>
          <w:szCs w:val="20"/>
        </w:rPr>
      </w:pPr>
      <w:r>
        <w:rPr>
          <w:rFonts w:eastAsia="Times New Roman"/>
          <w:color w:val="000000"/>
          <w:szCs w:val="20"/>
        </w:rPr>
        <w:t xml:space="preserve">Connecticut Legal Services, Inc. </w:t>
      </w:r>
    </w:p>
    <w:p w14:paraId="5C5FDC0D" w14:textId="2A92832D" w:rsidR="00793D65" w:rsidRDefault="00793D65" w:rsidP="00136754">
      <w:pPr>
        <w:tabs>
          <w:tab w:val="left" w:pos="-90"/>
        </w:tabs>
        <w:jc w:val="both"/>
        <w:rPr>
          <w:rFonts w:eastAsia="Times New Roman"/>
          <w:color w:val="000000"/>
          <w:szCs w:val="20"/>
        </w:rPr>
      </w:pPr>
      <w:r>
        <w:rPr>
          <w:rFonts w:eastAsia="Times New Roman"/>
          <w:color w:val="000000"/>
          <w:szCs w:val="20"/>
        </w:rPr>
        <w:t>1125 Main Street</w:t>
      </w:r>
    </w:p>
    <w:p w14:paraId="5EEF2BBB" w14:textId="1CCEAC1E" w:rsidR="00793D65" w:rsidRDefault="00793D65" w:rsidP="00136754">
      <w:pPr>
        <w:tabs>
          <w:tab w:val="left" w:pos="-90"/>
        </w:tabs>
        <w:jc w:val="both"/>
        <w:rPr>
          <w:rFonts w:eastAsia="Times New Roman"/>
          <w:color w:val="000000"/>
          <w:szCs w:val="20"/>
        </w:rPr>
      </w:pPr>
      <w:r>
        <w:rPr>
          <w:rFonts w:eastAsia="Times New Roman"/>
          <w:color w:val="000000"/>
          <w:szCs w:val="20"/>
        </w:rPr>
        <w:t>Willimantic, CT 06226</w:t>
      </w:r>
    </w:p>
    <w:p w14:paraId="7E5F9232" w14:textId="169ED4AC" w:rsidR="00893452" w:rsidRDefault="00893452" w:rsidP="00136754">
      <w:pPr>
        <w:tabs>
          <w:tab w:val="left" w:pos="-90"/>
        </w:tabs>
        <w:jc w:val="both"/>
        <w:rPr>
          <w:rFonts w:eastAsia="Times New Roman"/>
          <w:color w:val="000000"/>
          <w:szCs w:val="20"/>
        </w:rPr>
      </w:pPr>
    </w:p>
    <w:p w14:paraId="66518DEB" w14:textId="77777777" w:rsidR="00793D65" w:rsidRDefault="00793D65" w:rsidP="00136754">
      <w:pPr>
        <w:tabs>
          <w:tab w:val="left" w:pos="-90"/>
        </w:tabs>
        <w:jc w:val="both"/>
        <w:rPr>
          <w:rFonts w:eastAsia="Times New Roman"/>
          <w:color w:val="000000"/>
          <w:szCs w:val="20"/>
        </w:rPr>
      </w:pPr>
    </w:p>
    <w:p w14:paraId="3378726A" w14:textId="77777777" w:rsidR="00BD7985" w:rsidRDefault="00090318" w:rsidP="004647B6">
      <w:pPr>
        <w:autoSpaceDE w:val="0"/>
        <w:autoSpaceDN w:val="0"/>
        <w:adjustRightInd w:val="0"/>
        <w:ind w:left="720" w:hanging="720"/>
        <w:rPr>
          <w:rFonts w:eastAsia="Times New Roman"/>
          <w:color w:val="000000"/>
          <w:szCs w:val="20"/>
        </w:rPr>
      </w:pPr>
      <w:r>
        <w:rPr>
          <w:rFonts w:eastAsia="Times New Roman"/>
          <w:color w:val="000000"/>
          <w:szCs w:val="20"/>
        </w:rPr>
        <w:t xml:space="preserve">Re:   </w:t>
      </w:r>
      <w:r>
        <w:rPr>
          <w:rFonts w:eastAsia="Times New Roman"/>
          <w:color w:val="000000"/>
          <w:szCs w:val="20"/>
        </w:rPr>
        <w:tab/>
        <w:t xml:space="preserve">Docket No. 20-03-15 – </w:t>
      </w:r>
      <w:r w:rsidR="00BD7985">
        <w:rPr>
          <w:rFonts w:eastAsia="Times New Roman"/>
          <w:color w:val="000000"/>
          <w:szCs w:val="20"/>
        </w:rPr>
        <w:t>Emergency Petition of William Tong, Attorney General for the State of Connecticut for a Proceeding to Establish a State of Emergency Utility Shut-off Moratorium</w:t>
      </w:r>
    </w:p>
    <w:p w14:paraId="6A3A1BFF" w14:textId="77777777" w:rsidR="000C3A34" w:rsidRDefault="000C3A34" w:rsidP="000C3A34">
      <w:pPr>
        <w:autoSpaceDE w:val="0"/>
        <w:autoSpaceDN w:val="0"/>
        <w:adjustRightInd w:val="0"/>
        <w:rPr>
          <w:rFonts w:eastAsia="Times New Roman"/>
          <w:color w:val="000000"/>
          <w:szCs w:val="20"/>
        </w:rPr>
      </w:pPr>
    </w:p>
    <w:p w14:paraId="1FDB96BB" w14:textId="69463942" w:rsidR="00136754" w:rsidRDefault="00143248" w:rsidP="00136754">
      <w:pPr>
        <w:tabs>
          <w:tab w:val="left" w:pos="-90"/>
        </w:tabs>
        <w:jc w:val="both"/>
        <w:rPr>
          <w:rFonts w:eastAsia="Times New Roman"/>
          <w:color w:val="000000"/>
          <w:szCs w:val="20"/>
        </w:rPr>
      </w:pPr>
      <w:r>
        <w:rPr>
          <w:rFonts w:eastAsia="Times New Roman"/>
          <w:color w:val="000000"/>
          <w:szCs w:val="20"/>
        </w:rPr>
        <w:t xml:space="preserve">Dear </w:t>
      </w:r>
      <w:r w:rsidR="00793D65">
        <w:rPr>
          <w:rFonts w:eastAsia="Times New Roman"/>
          <w:color w:val="000000"/>
          <w:szCs w:val="20"/>
        </w:rPr>
        <w:t>Counselors</w:t>
      </w:r>
      <w:r w:rsidR="00136754">
        <w:rPr>
          <w:rFonts w:eastAsia="Times New Roman"/>
          <w:color w:val="000000"/>
          <w:szCs w:val="20"/>
        </w:rPr>
        <w:t>:</w:t>
      </w:r>
    </w:p>
    <w:p w14:paraId="4632572E" w14:textId="77777777" w:rsidR="00136754" w:rsidRDefault="00136754" w:rsidP="00136754">
      <w:pPr>
        <w:tabs>
          <w:tab w:val="left" w:pos="-90"/>
        </w:tabs>
        <w:jc w:val="both"/>
        <w:rPr>
          <w:rFonts w:eastAsia="Times New Roman"/>
          <w:color w:val="000000"/>
          <w:szCs w:val="20"/>
        </w:rPr>
      </w:pPr>
    </w:p>
    <w:p w14:paraId="1FB8D3B3" w14:textId="0F13377E" w:rsidR="00793D65" w:rsidRDefault="00143248" w:rsidP="000C3A34">
      <w:pPr>
        <w:jc w:val="both"/>
        <w:rPr>
          <w:rFonts w:cs="Arial"/>
          <w:szCs w:val="24"/>
        </w:rPr>
      </w:pPr>
      <w:r w:rsidRPr="00143248">
        <w:rPr>
          <w:rFonts w:eastAsia="Times New Roman"/>
          <w:szCs w:val="20"/>
        </w:rPr>
        <w:tab/>
      </w:r>
      <w:r w:rsidR="000C3A34">
        <w:rPr>
          <w:rFonts w:cs="Arial"/>
          <w:szCs w:val="24"/>
        </w:rPr>
        <w:t xml:space="preserve">The Public Utilities Regulatory Authority (Authority) </w:t>
      </w:r>
      <w:r w:rsidR="00793D65">
        <w:rPr>
          <w:rFonts w:cs="Arial"/>
          <w:szCs w:val="24"/>
        </w:rPr>
        <w:t xml:space="preserve">is in receipt of </w:t>
      </w:r>
      <w:r w:rsidR="00D35C10">
        <w:rPr>
          <w:rFonts w:cs="Arial"/>
          <w:szCs w:val="24"/>
        </w:rPr>
        <w:t>The Center for Children’s Advocacy’s (CCA) and Connecticut Legal Services, Inc.’s (Legal Services)</w:t>
      </w:r>
      <w:r w:rsidR="00793D65">
        <w:rPr>
          <w:rFonts w:cs="Arial"/>
          <w:szCs w:val="24"/>
        </w:rPr>
        <w:t xml:space="preserve"> motion dated August 18, 2020 (Motion) seeking, amongst other items, to extend the non-hardship Residential Shut-off Moratorium to October 1, 2020</w:t>
      </w:r>
      <w:r w:rsidR="005810A8">
        <w:rPr>
          <w:rFonts w:cs="Arial"/>
          <w:szCs w:val="24"/>
        </w:rPr>
        <w:t>, as well as</w:t>
      </w:r>
      <w:r w:rsidR="00793D65">
        <w:rPr>
          <w:rFonts w:cs="Arial"/>
          <w:szCs w:val="24"/>
        </w:rPr>
        <w:t xml:space="preserve"> </w:t>
      </w:r>
      <w:r w:rsidR="00D52149">
        <w:rPr>
          <w:rFonts w:cs="Arial"/>
          <w:szCs w:val="24"/>
        </w:rPr>
        <w:t>the</w:t>
      </w:r>
      <w:r w:rsidR="00793D65">
        <w:rPr>
          <w:rFonts w:cs="Arial"/>
          <w:szCs w:val="24"/>
        </w:rPr>
        <w:t xml:space="preserve"> </w:t>
      </w:r>
      <w:r w:rsidR="00D35C10">
        <w:rPr>
          <w:rFonts w:cs="Arial"/>
          <w:szCs w:val="24"/>
        </w:rPr>
        <w:t xml:space="preserve">addendum to </w:t>
      </w:r>
      <w:r w:rsidR="00D52149">
        <w:rPr>
          <w:rFonts w:cs="Arial"/>
          <w:szCs w:val="24"/>
        </w:rPr>
        <w:t>the</w:t>
      </w:r>
      <w:r w:rsidR="00793D65">
        <w:rPr>
          <w:rFonts w:cs="Arial"/>
          <w:szCs w:val="24"/>
        </w:rPr>
        <w:t xml:space="preserve"> </w:t>
      </w:r>
      <w:r w:rsidR="00D35C10">
        <w:rPr>
          <w:rFonts w:cs="Arial"/>
          <w:szCs w:val="24"/>
        </w:rPr>
        <w:t>M</w:t>
      </w:r>
      <w:r w:rsidR="00793D65">
        <w:rPr>
          <w:rFonts w:cs="Arial"/>
          <w:szCs w:val="24"/>
        </w:rPr>
        <w:t>otion dated August 24, 2020 (A</w:t>
      </w:r>
      <w:r w:rsidR="00D35C10">
        <w:rPr>
          <w:rFonts w:cs="Arial"/>
          <w:szCs w:val="24"/>
        </w:rPr>
        <w:t xml:space="preserve">ddendum), requesting </w:t>
      </w:r>
      <w:r w:rsidR="005810A8">
        <w:rPr>
          <w:rFonts w:cs="Arial"/>
          <w:szCs w:val="24"/>
        </w:rPr>
        <w:t xml:space="preserve">that </w:t>
      </w:r>
      <w:r w:rsidR="00D35C10">
        <w:rPr>
          <w:rFonts w:cs="Arial"/>
          <w:szCs w:val="24"/>
        </w:rPr>
        <w:t xml:space="preserve">the Authority initiate an investigation </w:t>
      </w:r>
      <w:r w:rsidR="005810A8">
        <w:rPr>
          <w:rFonts w:cs="Arial"/>
          <w:szCs w:val="24"/>
        </w:rPr>
        <w:t>as to whether</w:t>
      </w:r>
      <w:r w:rsidR="00D35C10">
        <w:rPr>
          <w:rFonts w:cs="Arial"/>
          <w:szCs w:val="24"/>
        </w:rPr>
        <w:t xml:space="preserve"> the </w:t>
      </w:r>
      <w:r w:rsidR="0093054A">
        <w:rPr>
          <w:rFonts w:cs="Arial"/>
          <w:szCs w:val="24"/>
        </w:rPr>
        <w:t xml:space="preserve">electric, natural gas, and water public service companies </w:t>
      </w:r>
      <w:r w:rsidR="005810A8">
        <w:rPr>
          <w:rFonts w:cs="Arial"/>
          <w:szCs w:val="24"/>
        </w:rPr>
        <w:t xml:space="preserve">that </w:t>
      </w:r>
      <w:r w:rsidR="0093054A">
        <w:rPr>
          <w:rFonts w:cs="Arial"/>
          <w:szCs w:val="24"/>
        </w:rPr>
        <w:t xml:space="preserve">are regulated by the Authority </w:t>
      </w:r>
      <w:r w:rsidR="00D35C10">
        <w:rPr>
          <w:rFonts w:cs="Arial"/>
          <w:szCs w:val="24"/>
        </w:rPr>
        <w:t>(Public Service Utilities)</w:t>
      </w:r>
      <w:r w:rsidR="0093054A">
        <w:rPr>
          <w:rStyle w:val="FootnoteReference"/>
          <w:rFonts w:cs="Arial"/>
          <w:szCs w:val="24"/>
        </w:rPr>
        <w:footnoteReference w:id="1"/>
      </w:r>
      <w:r w:rsidR="00D35C10">
        <w:rPr>
          <w:rFonts w:cs="Arial"/>
          <w:szCs w:val="24"/>
        </w:rPr>
        <w:t xml:space="preserve"> </w:t>
      </w:r>
      <w:r w:rsidR="005810A8">
        <w:rPr>
          <w:rFonts w:cs="Arial"/>
          <w:szCs w:val="24"/>
        </w:rPr>
        <w:t xml:space="preserve">are in </w:t>
      </w:r>
      <w:r w:rsidR="00D35C10">
        <w:rPr>
          <w:rFonts w:cs="Arial"/>
          <w:szCs w:val="24"/>
        </w:rPr>
        <w:t xml:space="preserve">compliance </w:t>
      </w:r>
      <w:r w:rsidR="005810A8">
        <w:rPr>
          <w:rFonts w:cs="Arial"/>
          <w:szCs w:val="24"/>
        </w:rPr>
        <w:t xml:space="preserve">with all orders issued by the Authority </w:t>
      </w:r>
      <w:r w:rsidR="00D35C10">
        <w:rPr>
          <w:rFonts w:cs="Arial"/>
          <w:szCs w:val="24"/>
        </w:rPr>
        <w:t>in this proceeding. The Authority is also in receipt of United Illuminating Company’s, Connecticut Natural Gas Corporation’s, and The Southern Connecticut Gas Company’s (</w:t>
      </w:r>
      <w:r w:rsidR="00E85DDE">
        <w:rPr>
          <w:rFonts w:cs="Arial"/>
          <w:szCs w:val="24"/>
        </w:rPr>
        <w:t>c</w:t>
      </w:r>
      <w:r w:rsidR="00D35C10">
        <w:rPr>
          <w:rFonts w:cs="Arial"/>
          <w:szCs w:val="24"/>
        </w:rPr>
        <w:t>ollectively</w:t>
      </w:r>
      <w:r w:rsidR="00E85DDE">
        <w:rPr>
          <w:rFonts w:cs="Arial"/>
          <w:szCs w:val="24"/>
        </w:rPr>
        <w:t>,</w:t>
      </w:r>
      <w:r w:rsidR="00D35C10">
        <w:rPr>
          <w:rFonts w:cs="Arial"/>
          <w:szCs w:val="24"/>
        </w:rPr>
        <w:t xml:space="preserve"> UI) response to the Motion dated August 26, 2020 (UI’s Response). </w:t>
      </w:r>
    </w:p>
    <w:p w14:paraId="243DE63F" w14:textId="7392A1C5" w:rsidR="00793D65" w:rsidRDefault="00793D65" w:rsidP="000C3A34">
      <w:pPr>
        <w:jc w:val="both"/>
        <w:rPr>
          <w:rFonts w:cs="Arial"/>
          <w:szCs w:val="24"/>
        </w:rPr>
      </w:pPr>
    </w:p>
    <w:p w14:paraId="5B5501CB" w14:textId="219286C3" w:rsidR="003E01D2" w:rsidRPr="003A5C72" w:rsidRDefault="003E01D2" w:rsidP="000C3A34">
      <w:pPr>
        <w:jc w:val="both"/>
        <w:rPr>
          <w:rFonts w:cs="Arial"/>
          <w:b/>
          <w:szCs w:val="24"/>
        </w:rPr>
      </w:pPr>
      <w:r w:rsidRPr="003A5C72">
        <w:rPr>
          <w:rFonts w:cs="Arial"/>
          <w:b/>
          <w:szCs w:val="24"/>
        </w:rPr>
        <w:t>Motion and Motion Response</w:t>
      </w:r>
    </w:p>
    <w:p w14:paraId="0D48ABA1" w14:textId="77777777" w:rsidR="003E01D2" w:rsidRDefault="003E01D2" w:rsidP="000C3A34">
      <w:pPr>
        <w:jc w:val="both"/>
        <w:rPr>
          <w:rFonts w:cs="Arial"/>
          <w:szCs w:val="24"/>
        </w:rPr>
      </w:pPr>
    </w:p>
    <w:p w14:paraId="07CFE062" w14:textId="231C5E67" w:rsidR="007470F5" w:rsidRDefault="00D35C10" w:rsidP="000C3A34">
      <w:pPr>
        <w:jc w:val="both"/>
        <w:rPr>
          <w:rFonts w:cs="Arial"/>
          <w:szCs w:val="24"/>
        </w:rPr>
      </w:pPr>
      <w:r>
        <w:rPr>
          <w:rFonts w:cs="Arial"/>
          <w:szCs w:val="24"/>
        </w:rPr>
        <w:tab/>
        <w:t>In the Motion</w:t>
      </w:r>
      <w:r w:rsidR="000F7DC5">
        <w:rPr>
          <w:rFonts w:cs="Arial"/>
          <w:szCs w:val="24"/>
        </w:rPr>
        <w:t>,</w:t>
      </w:r>
      <w:r>
        <w:rPr>
          <w:rFonts w:cs="Arial"/>
          <w:szCs w:val="24"/>
        </w:rPr>
        <w:t xml:space="preserve"> CCA and Legal Services seek</w:t>
      </w:r>
      <w:r w:rsidR="00E85DDE">
        <w:rPr>
          <w:rFonts w:cs="Arial"/>
          <w:szCs w:val="24"/>
        </w:rPr>
        <w:t>:</w:t>
      </w:r>
      <w:r>
        <w:rPr>
          <w:rFonts w:cs="Arial"/>
          <w:szCs w:val="24"/>
        </w:rPr>
        <w:t xml:space="preserve"> “1) an extension of the Residential Shut-off Moratorium to October 1, 2020; 2) an order directing the electric and gas public service companies… to clearly, concisely and widely disseminate information regarding </w:t>
      </w:r>
      <w:r>
        <w:rPr>
          <w:rFonts w:cs="Arial"/>
          <w:szCs w:val="24"/>
        </w:rPr>
        <w:lastRenderedPageBreak/>
        <w:t>the end</w:t>
      </w:r>
      <w:r w:rsidR="007E1240">
        <w:rPr>
          <w:rFonts w:cs="Arial"/>
          <w:szCs w:val="24"/>
        </w:rPr>
        <w:t xml:space="preserve"> date of the Residential Shut-off Moratorium…; and 3) an order directing the </w:t>
      </w:r>
      <w:r w:rsidR="00976983">
        <w:rPr>
          <w:rFonts w:cs="Arial"/>
          <w:szCs w:val="24"/>
        </w:rPr>
        <w:t>[u]</w:t>
      </w:r>
      <w:proofErr w:type="spellStart"/>
      <w:r w:rsidR="007E1240">
        <w:rPr>
          <w:rFonts w:cs="Arial"/>
          <w:szCs w:val="24"/>
        </w:rPr>
        <w:t>tilities</w:t>
      </w:r>
      <w:proofErr w:type="spellEnd"/>
      <w:r w:rsidR="007E1240">
        <w:rPr>
          <w:rFonts w:cs="Arial"/>
          <w:szCs w:val="24"/>
        </w:rPr>
        <w:t xml:space="preserve"> to include information regarding available arrearage forgiveness programs and hardship protection with all termination notices sent after the Residential Shut-off Moratorium ends.” Motion, p. 1.</w:t>
      </w:r>
      <w:r w:rsidR="007E1240">
        <w:rPr>
          <w:rStyle w:val="FootnoteReference"/>
          <w:rFonts w:cs="Arial"/>
          <w:szCs w:val="24"/>
        </w:rPr>
        <w:footnoteReference w:id="2"/>
      </w:r>
      <w:r w:rsidR="007E1240">
        <w:rPr>
          <w:rFonts w:cs="Arial"/>
          <w:szCs w:val="24"/>
        </w:rPr>
        <w:t xml:space="preserve"> CCA and Legal Services argue that the December 18, 2019, Interim Decision in Docket No. 17-12-03RE01, </w:t>
      </w:r>
      <w:r w:rsidR="00FA4DBA">
        <w:rPr>
          <w:rFonts w:cs="Arial"/>
          <w:szCs w:val="24"/>
          <w:u w:val="single"/>
        </w:rPr>
        <w:t>PURA Investigation into Distribution System Planning of the Electric Distribution Companies – Energy Affordability</w:t>
      </w:r>
      <w:r w:rsidR="00FA4DBA">
        <w:rPr>
          <w:rFonts w:cs="Arial"/>
          <w:szCs w:val="24"/>
        </w:rPr>
        <w:t xml:space="preserve">, found that not all residents in need of energy assistance were aware of the full range of options provided by the Public Service Utilities. </w:t>
      </w:r>
      <w:r w:rsidR="00DE6E8C">
        <w:rPr>
          <w:rFonts w:cs="Arial"/>
          <w:szCs w:val="24"/>
        </w:rPr>
        <w:t xml:space="preserve">CCA and Legal Services believe that as of the date of </w:t>
      </w:r>
      <w:r w:rsidR="00A96ACA">
        <w:rPr>
          <w:rFonts w:cs="Arial"/>
          <w:szCs w:val="24"/>
        </w:rPr>
        <w:t>their</w:t>
      </w:r>
      <w:r w:rsidR="00DE6E8C">
        <w:rPr>
          <w:rFonts w:cs="Arial"/>
          <w:szCs w:val="24"/>
        </w:rPr>
        <w:t xml:space="preserve"> Motion, </w:t>
      </w:r>
      <w:r w:rsidR="00C8387B">
        <w:rPr>
          <w:rFonts w:cs="Arial"/>
          <w:szCs w:val="24"/>
        </w:rPr>
        <w:t xml:space="preserve">the Public </w:t>
      </w:r>
      <w:r w:rsidR="006A18F7">
        <w:rPr>
          <w:rFonts w:cs="Arial"/>
          <w:szCs w:val="24"/>
        </w:rPr>
        <w:t xml:space="preserve">Service </w:t>
      </w:r>
      <w:r w:rsidR="00C8387B">
        <w:rPr>
          <w:rFonts w:cs="Arial"/>
          <w:szCs w:val="24"/>
        </w:rPr>
        <w:t>Utilit</w:t>
      </w:r>
      <w:r w:rsidR="00A60574">
        <w:rPr>
          <w:rFonts w:cs="Arial"/>
          <w:szCs w:val="24"/>
        </w:rPr>
        <w:t xml:space="preserve">ies </w:t>
      </w:r>
      <w:r w:rsidR="000D10BF">
        <w:rPr>
          <w:rFonts w:cs="Arial"/>
          <w:szCs w:val="24"/>
        </w:rPr>
        <w:t xml:space="preserve">were not advertising the information regarding </w:t>
      </w:r>
      <w:r w:rsidR="00C7519A">
        <w:rPr>
          <w:rFonts w:cs="Arial"/>
          <w:szCs w:val="24"/>
        </w:rPr>
        <w:t xml:space="preserve">the expiration of the non-hardship Residential Shut-off Moratorium. Motion, p. 2. </w:t>
      </w:r>
      <w:r w:rsidR="000A45A3">
        <w:rPr>
          <w:rFonts w:cs="Arial"/>
          <w:szCs w:val="24"/>
        </w:rPr>
        <w:t>The Motion continues</w:t>
      </w:r>
      <w:r w:rsidR="00462697">
        <w:rPr>
          <w:rFonts w:cs="Arial"/>
          <w:szCs w:val="24"/>
        </w:rPr>
        <w:t>,</w:t>
      </w:r>
      <w:r w:rsidR="000A45A3">
        <w:rPr>
          <w:rFonts w:cs="Arial"/>
          <w:szCs w:val="24"/>
        </w:rPr>
        <w:t xml:space="preserve"> that “[b</w:t>
      </w:r>
      <w:r w:rsidR="00976983">
        <w:rPr>
          <w:rFonts w:cs="Arial"/>
          <w:szCs w:val="24"/>
        </w:rPr>
        <w:t>]</w:t>
      </w:r>
      <w:proofErr w:type="spellStart"/>
      <w:r w:rsidR="000A45A3">
        <w:rPr>
          <w:rFonts w:cs="Arial"/>
          <w:szCs w:val="24"/>
        </w:rPr>
        <w:t>ecause</w:t>
      </w:r>
      <w:proofErr w:type="spellEnd"/>
      <w:r w:rsidR="000A45A3">
        <w:rPr>
          <w:rFonts w:cs="Arial"/>
          <w:szCs w:val="24"/>
        </w:rPr>
        <w:t xml:space="preserve"> of the insufficient messaging in the four weeks since the Authority’s July 21</w:t>
      </w:r>
      <w:r w:rsidR="000A45A3" w:rsidRPr="000A45A3">
        <w:rPr>
          <w:rFonts w:cs="Arial"/>
          <w:szCs w:val="24"/>
          <w:vertAlign w:val="superscript"/>
        </w:rPr>
        <w:t>st</w:t>
      </w:r>
      <w:r w:rsidR="000A45A3">
        <w:rPr>
          <w:rFonts w:cs="Arial"/>
          <w:szCs w:val="24"/>
        </w:rPr>
        <w:t xml:space="preserve"> Directive, additional time is necessary to properly inform customers about this crucial date. </w:t>
      </w:r>
      <w:r w:rsidR="007470F5">
        <w:rPr>
          <w:rFonts w:cs="Arial"/>
          <w:szCs w:val="24"/>
        </w:rPr>
        <w:t xml:space="preserve">[CCA and Legal Services] continue to provide information to their respective client populations, but other stakeholders such as Community Action Agencies and municipalities are not necessarily </w:t>
      </w:r>
      <w:r w:rsidR="00976983">
        <w:rPr>
          <w:rFonts w:cs="Arial"/>
          <w:szCs w:val="24"/>
        </w:rPr>
        <w:t xml:space="preserve">[aware] </w:t>
      </w:r>
      <w:r w:rsidR="007470F5">
        <w:rPr>
          <w:rFonts w:cs="Arial"/>
          <w:szCs w:val="24"/>
        </w:rPr>
        <w:t>of the July 21</w:t>
      </w:r>
      <w:r w:rsidR="007470F5" w:rsidRPr="007470F5">
        <w:rPr>
          <w:rFonts w:cs="Arial"/>
          <w:szCs w:val="24"/>
          <w:vertAlign w:val="superscript"/>
        </w:rPr>
        <w:t>st</w:t>
      </w:r>
      <w:r w:rsidR="007470F5">
        <w:rPr>
          <w:rFonts w:cs="Arial"/>
          <w:szCs w:val="24"/>
        </w:rPr>
        <w:t xml:space="preserve"> Directive.” Motion, p. 3. </w:t>
      </w:r>
    </w:p>
    <w:p w14:paraId="402BDDDA" w14:textId="77777777" w:rsidR="007470F5" w:rsidRDefault="007470F5" w:rsidP="000C3A34">
      <w:pPr>
        <w:jc w:val="both"/>
        <w:rPr>
          <w:rFonts w:cs="Arial"/>
          <w:szCs w:val="24"/>
        </w:rPr>
      </w:pPr>
    </w:p>
    <w:p w14:paraId="7F32B0F1" w14:textId="45571691" w:rsidR="00793D65" w:rsidRDefault="007470F5" w:rsidP="000C3A34">
      <w:pPr>
        <w:jc w:val="both"/>
        <w:rPr>
          <w:rFonts w:cs="Arial"/>
          <w:szCs w:val="24"/>
        </w:rPr>
      </w:pPr>
      <w:r>
        <w:rPr>
          <w:rFonts w:cs="Arial"/>
          <w:szCs w:val="24"/>
        </w:rPr>
        <w:tab/>
      </w:r>
      <w:r w:rsidR="003E01D2">
        <w:rPr>
          <w:rFonts w:cs="Arial"/>
          <w:szCs w:val="24"/>
        </w:rPr>
        <w:t xml:space="preserve">The last concern expressed by </w:t>
      </w:r>
      <w:r>
        <w:rPr>
          <w:rFonts w:cs="Arial"/>
          <w:szCs w:val="24"/>
        </w:rPr>
        <w:t xml:space="preserve">CCA and Legal Services in </w:t>
      </w:r>
      <w:r w:rsidR="003E01D2">
        <w:rPr>
          <w:rFonts w:cs="Arial"/>
          <w:szCs w:val="24"/>
        </w:rPr>
        <w:t xml:space="preserve">their </w:t>
      </w:r>
      <w:r>
        <w:rPr>
          <w:rFonts w:cs="Arial"/>
          <w:szCs w:val="24"/>
        </w:rPr>
        <w:t xml:space="preserve">Motion </w:t>
      </w:r>
      <w:r w:rsidR="003E01D2">
        <w:rPr>
          <w:rFonts w:cs="Arial"/>
          <w:szCs w:val="24"/>
        </w:rPr>
        <w:t>is the</w:t>
      </w:r>
      <w:r w:rsidR="00462697">
        <w:rPr>
          <w:rFonts w:cs="Arial"/>
          <w:szCs w:val="24"/>
        </w:rPr>
        <w:t xml:space="preserve"> potential</w:t>
      </w:r>
      <w:r>
        <w:rPr>
          <w:rFonts w:cs="Arial"/>
          <w:szCs w:val="24"/>
        </w:rPr>
        <w:t xml:space="preserve"> sudden distribution of </w:t>
      </w:r>
      <w:r w:rsidR="000D30BB">
        <w:rPr>
          <w:rFonts w:cs="Arial"/>
          <w:szCs w:val="24"/>
        </w:rPr>
        <w:t xml:space="preserve">termination notices without </w:t>
      </w:r>
      <w:r w:rsidR="00976983">
        <w:rPr>
          <w:rFonts w:cs="Arial"/>
          <w:szCs w:val="24"/>
        </w:rPr>
        <w:t xml:space="preserve">first providing </w:t>
      </w:r>
      <w:r w:rsidR="000D30BB">
        <w:rPr>
          <w:rFonts w:cs="Arial"/>
          <w:szCs w:val="24"/>
        </w:rPr>
        <w:t>proper explanation and information.</w:t>
      </w:r>
      <w:r w:rsidR="00C7519A">
        <w:rPr>
          <w:rFonts w:cs="Arial"/>
          <w:szCs w:val="24"/>
        </w:rPr>
        <w:t xml:space="preserve"> </w:t>
      </w:r>
      <w:r w:rsidR="000D10BF">
        <w:rPr>
          <w:rFonts w:cs="Arial"/>
          <w:szCs w:val="24"/>
        </w:rPr>
        <w:t xml:space="preserve"> </w:t>
      </w:r>
      <w:r w:rsidR="000D30BB">
        <w:rPr>
          <w:rFonts w:cs="Arial"/>
          <w:szCs w:val="24"/>
        </w:rPr>
        <w:t>The Motion cites to R.C.S.A. §</w:t>
      </w:r>
      <w:r w:rsidR="00462697">
        <w:rPr>
          <w:rFonts w:cs="Arial"/>
          <w:szCs w:val="24"/>
        </w:rPr>
        <w:t>16-3-100(c)</w:t>
      </w:r>
      <w:r w:rsidR="000D30BB">
        <w:rPr>
          <w:rFonts w:cs="Arial"/>
          <w:szCs w:val="24"/>
        </w:rPr>
        <w:t xml:space="preserve"> providing “that every utility company prepare a brief explanation of the rights of customers provided under this section and that ‘ever</w:t>
      </w:r>
      <w:r w:rsidR="00FB3B73">
        <w:rPr>
          <w:rFonts w:cs="Arial"/>
          <w:szCs w:val="24"/>
        </w:rPr>
        <w:t>y</w:t>
      </w:r>
      <w:r w:rsidR="000D30BB">
        <w:rPr>
          <w:rFonts w:cs="Arial"/>
          <w:szCs w:val="24"/>
        </w:rPr>
        <w:t xml:space="preserve"> termination notice issued by a utility company shall </w:t>
      </w:r>
      <w:r w:rsidR="00976983">
        <w:rPr>
          <w:rFonts w:cs="Arial"/>
          <w:szCs w:val="24"/>
        </w:rPr>
        <w:t xml:space="preserve">contain or be </w:t>
      </w:r>
      <w:r w:rsidR="000D30BB">
        <w:rPr>
          <w:rFonts w:cs="Arial"/>
          <w:szCs w:val="24"/>
        </w:rPr>
        <w:t>accompanied by such explanation.’ Importantly, no modification to the regulations are necessary to affect this change: ‘</w:t>
      </w:r>
      <w:r w:rsidR="00462697">
        <w:rPr>
          <w:rFonts w:cs="Arial"/>
          <w:szCs w:val="24"/>
        </w:rPr>
        <w:t>[t]</w:t>
      </w:r>
      <w:r w:rsidR="000D30BB">
        <w:rPr>
          <w:rFonts w:cs="Arial"/>
          <w:szCs w:val="24"/>
        </w:rPr>
        <w:t xml:space="preserve">he [Authority] may require any modification in the explanation as it deems necessary to insure actual notice to customers of the provisions of this section.’” Motion, p. 3, </w:t>
      </w:r>
      <w:r w:rsidR="000D30BB">
        <w:rPr>
          <w:rFonts w:cs="Arial"/>
          <w:i/>
          <w:szCs w:val="24"/>
        </w:rPr>
        <w:t xml:space="preserve">citations omitted. </w:t>
      </w:r>
    </w:p>
    <w:p w14:paraId="5000564C" w14:textId="37FB8796" w:rsidR="000D30BB" w:rsidRDefault="000D30BB" w:rsidP="000C3A34">
      <w:pPr>
        <w:jc w:val="both"/>
        <w:rPr>
          <w:rFonts w:cs="Arial"/>
          <w:szCs w:val="24"/>
        </w:rPr>
      </w:pPr>
    </w:p>
    <w:p w14:paraId="478D6780" w14:textId="3A2131AA" w:rsidR="000D30BB" w:rsidRPr="00C50810" w:rsidRDefault="000D30BB" w:rsidP="000C3A34">
      <w:pPr>
        <w:jc w:val="both"/>
        <w:rPr>
          <w:rFonts w:cs="Arial"/>
          <w:vanish/>
          <w:szCs w:val="24"/>
        </w:rPr>
      </w:pPr>
      <w:r>
        <w:rPr>
          <w:rFonts w:cs="Arial"/>
          <w:szCs w:val="24"/>
        </w:rPr>
        <w:tab/>
      </w:r>
      <w:r w:rsidR="00FB5562">
        <w:rPr>
          <w:rFonts w:cs="Arial"/>
          <w:szCs w:val="24"/>
        </w:rPr>
        <w:t xml:space="preserve">CCA and Legal Services submitted the </w:t>
      </w:r>
      <w:r>
        <w:rPr>
          <w:rFonts w:cs="Arial"/>
          <w:szCs w:val="24"/>
        </w:rPr>
        <w:t>Addendum</w:t>
      </w:r>
      <w:r w:rsidR="00DE3011">
        <w:rPr>
          <w:rFonts w:cs="Arial"/>
          <w:szCs w:val="24"/>
        </w:rPr>
        <w:t xml:space="preserve"> </w:t>
      </w:r>
      <w:r w:rsidR="00C50810">
        <w:rPr>
          <w:rFonts w:cs="Arial"/>
          <w:szCs w:val="24"/>
        </w:rPr>
        <w:t xml:space="preserve">as further support for </w:t>
      </w:r>
      <w:r w:rsidR="00976983">
        <w:rPr>
          <w:rFonts w:cs="Arial"/>
          <w:szCs w:val="24"/>
        </w:rPr>
        <w:t>the</w:t>
      </w:r>
      <w:r w:rsidR="00C50810">
        <w:rPr>
          <w:rFonts w:cs="Arial"/>
          <w:szCs w:val="24"/>
        </w:rPr>
        <w:t xml:space="preserve"> Motion. </w:t>
      </w:r>
      <w:r w:rsidR="00BA0E9C">
        <w:rPr>
          <w:rFonts w:cs="Arial"/>
          <w:szCs w:val="24"/>
        </w:rPr>
        <w:t xml:space="preserve">The Addendum </w:t>
      </w:r>
      <w:r w:rsidR="00976983">
        <w:rPr>
          <w:rFonts w:cs="Arial"/>
          <w:szCs w:val="24"/>
        </w:rPr>
        <w:t xml:space="preserve">also </w:t>
      </w:r>
      <w:r w:rsidR="00BA0E9C">
        <w:rPr>
          <w:rFonts w:cs="Arial"/>
          <w:szCs w:val="24"/>
        </w:rPr>
        <w:t>requests that the Authority investigate</w:t>
      </w:r>
      <w:r w:rsidR="00DB17B2">
        <w:rPr>
          <w:rFonts w:cs="Arial"/>
          <w:szCs w:val="24"/>
        </w:rPr>
        <w:t xml:space="preserve"> whether</w:t>
      </w:r>
      <w:r w:rsidR="00BA0E9C">
        <w:rPr>
          <w:rFonts w:cs="Arial"/>
          <w:szCs w:val="24"/>
        </w:rPr>
        <w:t xml:space="preserve"> the Public Service Utilities</w:t>
      </w:r>
      <w:r w:rsidR="00DB17B2">
        <w:rPr>
          <w:rFonts w:cs="Arial"/>
          <w:szCs w:val="24"/>
        </w:rPr>
        <w:t xml:space="preserve"> are in</w:t>
      </w:r>
      <w:r w:rsidR="00BA0E9C">
        <w:rPr>
          <w:rFonts w:cs="Arial"/>
          <w:szCs w:val="24"/>
        </w:rPr>
        <w:t xml:space="preserve"> compliance with the orders </w:t>
      </w:r>
      <w:r w:rsidR="00DB17B2">
        <w:rPr>
          <w:rFonts w:cs="Arial"/>
          <w:szCs w:val="24"/>
        </w:rPr>
        <w:t xml:space="preserve">issued by the Authority </w:t>
      </w:r>
      <w:r w:rsidR="00BA0E9C">
        <w:rPr>
          <w:rFonts w:cs="Arial"/>
          <w:szCs w:val="24"/>
        </w:rPr>
        <w:t>in this proceeding.</w:t>
      </w:r>
      <w:r w:rsidR="003E01D2">
        <w:rPr>
          <w:rFonts w:cs="Arial"/>
          <w:szCs w:val="24"/>
        </w:rPr>
        <w:t xml:space="preserve"> </w:t>
      </w:r>
      <w:r w:rsidR="00BA0E9C">
        <w:rPr>
          <w:rFonts w:cs="Arial"/>
          <w:szCs w:val="24"/>
        </w:rPr>
        <w:t xml:space="preserve"> </w:t>
      </w:r>
      <w:r w:rsidR="003C1B12">
        <w:rPr>
          <w:rFonts w:cs="Arial"/>
          <w:szCs w:val="24"/>
        </w:rPr>
        <w:t xml:space="preserve">UI’s Response to the Addendum is </w:t>
      </w:r>
      <w:r w:rsidR="003E01D2">
        <w:rPr>
          <w:rFonts w:cs="Arial"/>
          <w:szCs w:val="24"/>
        </w:rPr>
        <w:t xml:space="preserve">summarized </w:t>
      </w:r>
      <w:r w:rsidR="003C1B12">
        <w:rPr>
          <w:rFonts w:cs="Arial"/>
          <w:szCs w:val="24"/>
        </w:rPr>
        <w:t>in its conclusion</w:t>
      </w:r>
      <w:r w:rsidR="003E01D2">
        <w:rPr>
          <w:rFonts w:cs="Arial"/>
          <w:szCs w:val="24"/>
        </w:rPr>
        <w:t>:</w:t>
      </w:r>
      <w:r w:rsidR="003C1B12">
        <w:rPr>
          <w:rFonts w:cs="Arial"/>
          <w:szCs w:val="24"/>
        </w:rPr>
        <w:t xml:space="preserve"> “UI laud[s] </w:t>
      </w:r>
      <w:r w:rsidR="003E01D2">
        <w:rPr>
          <w:rFonts w:cs="Arial"/>
          <w:szCs w:val="24"/>
        </w:rPr>
        <w:t xml:space="preserve">[CCA and Legal Services] </w:t>
      </w:r>
      <w:r w:rsidR="003C1B12">
        <w:rPr>
          <w:rFonts w:cs="Arial"/>
          <w:szCs w:val="24"/>
        </w:rPr>
        <w:t xml:space="preserve">for their purpose and actions, and agree that we must all work together to assist those in need during this difficult time. However, [UI] do[es] not agree with the inflammatory statements made by [CCA and </w:t>
      </w:r>
      <w:r w:rsidR="00AB5EF3">
        <w:rPr>
          <w:rFonts w:cs="Arial"/>
          <w:szCs w:val="24"/>
        </w:rPr>
        <w:t>Legal Services</w:t>
      </w:r>
      <w:r w:rsidR="008B7151">
        <w:rPr>
          <w:rFonts w:cs="Arial"/>
          <w:szCs w:val="24"/>
        </w:rPr>
        <w:t xml:space="preserve">] in their Motion and Addendum to Motion.” UI’s Response, p. 3. </w:t>
      </w:r>
      <w:r w:rsidR="003C1B12">
        <w:rPr>
          <w:rFonts w:cs="Arial"/>
          <w:szCs w:val="24"/>
        </w:rPr>
        <w:t xml:space="preserve"> </w:t>
      </w:r>
    </w:p>
    <w:p w14:paraId="60DD78ED" w14:textId="77777777" w:rsidR="00793D65" w:rsidRDefault="00793D65" w:rsidP="000C3A34">
      <w:pPr>
        <w:jc w:val="both"/>
        <w:rPr>
          <w:rFonts w:cs="Arial"/>
          <w:szCs w:val="24"/>
        </w:rPr>
      </w:pPr>
    </w:p>
    <w:p w14:paraId="4627AF04" w14:textId="77777777" w:rsidR="00793D65" w:rsidRDefault="00793D65" w:rsidP="000C3A34">
      <w:pPr>
        <w:jc w:val="both"/>
        <w:rPr>
          <w:rFonts w:cs="Arial"/>
          <w:szCs w:val="24"/>
        </w:rPr>
      </w:pPr>
    </w:p>
    <w:p w14:paraId="433AAD61" w14:textId="348C3ACA" w:rsidR="003E01D2" w:rsidRPr="003A5C72" w:rsidRDefault="003E01D2" w:rsidP="003A5C72">
      <w:pPr>
        <w:jc w:val="both"/>
        <w:rPr>
          <w:rFonts w:cs="Arial"/>
          <w:b/>
          <w:szCs w:val="24"/>
        </w:rPr>
      </w:pPr>
      <w:r w:rsidRPr="003A5C72">
        <w:rPr>
          <w:rFonts w:cs="Arial"/>
          <w:b/>
          <w:szCs w:val="24"/>
        </w:rPr>
        <w:t>Procedural History</w:t>
      </w:r>
    </w:p>
    <w:p w14:paraId="02B83845" w14:textId="77777777" w:rsidR="003E01D2" w:rsidRDefault="003E01D2" w:rsidP="003A5C72">
      <w:pPr>
        <w:jc w:val="both"/>
        <w:rPr>
          <w:rFonts w:cs="Arial"/>
          <w:szCs w:val="24"/>
        </w:rPr>
      </w:pPr>
    </w:p>
    <w:p w14:paraId="5D5B35E6" w14:textId="267B1476" w:rsidR="000C3A34" w:rsidRDefault="00F44D89" w:rsidP="00A76FA3">
      <w:pPr>
        <w:ind w:firstLine="720"/>
        <w:jc w:val="both"/>
        <w:rPr>
          <w:rFonts w:cs="Arial"/>
          <w:szCs w:val="24"/>
        </w:rPr>
      </w:pPr>
      <w:r>
        <w:rPr>
          <w:rFonts w:cs="Arial"/>
          <w:szCs w:val="24"/>
        </w:rPr>
        <w:t>The above-captioned proceeding</w:t>
      </w:r>
      <w:r w:rsidR="00A76FA3">
        <w:rPr>
          <w:rFonts w:cs="Arial"/>
          <w:szCs w:val="24"/>
        </w:rPr>
        <w:t xml:space="preserve"> was originally</w:t>
      </w:r>
      <w:r w:rsidR="00462697">
        <w:rPr>
          <w:rFonts w:cs="Arial"/>
          <w:szCs w:val="24"/>
        </w:rPr>
        <w:t xml:space="preserve"> initiated</w:t>
      </w:r>
      <w:r w:rsidR="000C3A34">
        <w:rPr>
          <w:rFonts w:cs="Arial"/>
          <w:szCs w:val="24"/>
        </w:rPr>
        <w:t xml:space="preserve"> to review a March 12, 2020</w:t>
      </w:r>
      <w:r w:rsidR="00B84E8E">
        <w:rPr>
          <w:rFonts w:cs="Arial"/>
          <w:szCs w:val="24"/>
        </w:rPr>
        <w:t>,</w:t>
      </w:r>
      <w:r w:rsidR="000C3A34">
        <w:rPr>
          <w:rFonts w:cs="Arial"/>
          <w:szCs w:val="24"/>
        </w:rPr>
        <w:t xml:space="preserve"> petition filed by William Tong, Attorney General for the State of Connecticut (Attorney General), pursuant to the General Statu</w:t>
      </w:r>
      <w:r w:rsidR="0076241D">
        <w:rPr>
          <w:rFonts w:cs="Arial"/>
          <w:szCs w:val="24"/>
        </w:rPr>
        <w:t>t</w:t>
      </w:r>
      <w:r w:rsidR="000C3A34">
        <w:rPr>
          <w:rFonts w:cs="Arial"/>
          <w:szCs w:val="24"/>
        </w:rPr>
        <w:t xml:space="preserve">es of Connecticut (Conn. Gen. Stat.) </w:t>
      </w:r>
      <w:r w:rsidR="000C3A34">
        <w:rPr>
          <w:rFonts w:cs="Arial"/>
          <w:szCs w:val="24"/>
        </w:rPr>
        <w:lastRenderedPageBreak/>
        <w:t xml:space="preserve">§§ 16-11 and 16-19e (Petition). In the Petition, the Attorney General requested that the Authority order electric, natural gas, and water public service companies </w:t>
      </w:r>
      <w:r w:rsidR="00035EBA">
        <w:rPr>
          <w:rFonts w:cs="Arial"/>
          <w:szCs w:val="24"/>
        </w:rPr>
        <w:t xml:space="preserve">that </w:t>
      </w:r>
      <w:r w:rsidR="000C3A34">
        <w:rPr>
          <w:rFonts w:cs="Arial"/>
          <w:szCs w:val="24"/>
        </w:rPr>
        <w:t>are regulated by the Authority (together</w:t>
      </w:r>
      <w:r w:rsidR="007E3DD6">
        <w:rPr>
          <w:rFonts w:cs="Arial"/>
          <w:szCs w:val="24"/>
        </w:rPr>
        <w:t>,</w:t>
      </w:r>
      <w:r w:rsidR="000C3A34">
        <w:rPr>
          <w:rFonts w:cs="Arial"/>
          <w:szCs w:val="24"/>
        </w:rPr>
        <w:t xml:space="preserve"> Public Service Utilities) to cease all </w:t>
      </w:r>
      <w:r w:rsidR="00035EBA">
        <w:rPr>
          <w:rFonts w:cs="Arial"/>
          <w:szCs w:val="24"/>
        </w:rPr>
        <w:t xml:space="preserve">service </w:t>
      </w:r>
      <w:r w:rsidR="000C3A34">
        <w:rPr>
          <w:rFonts w:cs="Arial"/>
          <w:szCs w:val="24"/>
        </w:rPr>
        <w:t>terminations for non-payment for residential customers for an appropriate period of time to adequately safeguard public health and safety during Connecticut’s declared public health and civil preparedness emergencies related to COVID-19. On March 12, 2020, the Authority issued a preliminary order to Public Service Utilities to cease water, electric</w:t>
      </w:r>
      <w:r w:rsidR="007E3DD6">
        <w:rPr>
          <w:rFonts w:cs="Arial"/>
          <w:szCs w:val="24"/>
        </w:rPr>
        <w:t>,</w:t>
      </w:r>
      <w:r w:rsidR="000C3A34">
        <w:rPr>
          <w:rFonts w:cs="Arial"/>
          <w:szCs w:val="24"/>
        </w:rPr>
        <w:t xml:space="preserve"> and gas shut</w:t>
      </w:r>
      <w:r w:rsidR="0076241D">
        <w:rPr>
          <w:rFonts w:cs="Arial"/>
          <w:szCs w:val="24"/>
        </w:rPr>
        <w:t>-</w:t>
      </w:r>
      <w:r w:rsidR="000C3A34">
        <w:rPr>
          <w:rFonts w:cs="Arial"/>
          <w:szCs w:val="24"/>
        </w:rPr>
        <w:t>offs, except for reasons of public safety, for residential customers for the duration of the Public Health and Civil Preparedness Emergency declared by Governor Lamont on March 10, 2020 (Order No. 1)</w:t>
      </w:r>
      <w:r w:rsidR="007E3DD6">
        <w:rPr>
          <w:rFonts w:cs="Arial"/>
          <w:szCs w:val="24"/>
        </w:rPr>
        <w:t>,</w:t>
      </w:r>
      <w:r w:rsidR="007E3DD6">
        <w:rPr>
          <w:rStyle w:val="FootnoteReference"/>
          <w:rFonts w:cs="Arial"/>
          <w:szCs w:val="24"/>
        </w:rPr>
        <w:footnoteReference w:id="3"/>
      </w:r>
      <w:r w:rsidR="000C3A34">
        <w:rPr>
          <w:rFonts w:cs="Arial"/>
          <w:szCs w:val="24"/>
        </w:rPr>
        <w:t xml:space="preserve"> or until such other time as determined by the Authority. </w:t>
      </w:r>
    </w:p>
    <w:p w14:paraId="19A11A10" w14:textId="1045CDA8" w:rsidR="009C66E1" w:rsidRDefault="009C66E1" w:rsidP="000C3A34">
      <w:pPr>
        <w:tabs>
          <w:tab w:val="left" w:pos="-90"/>
        </w:tabs>
        <w:jc w:val="both"/>
        <w:rPr>
          <w:rFonts w:eastAsia="Times New Roman"/>
          <w:szCs w:val="20"/>
        </w:rPr>
      </w:pPr>
    </w:p>
    <w:p w14:paraId="06C886D8" w14:textId="5DA0382E" w:rsidR="00F44D89" w:rsidRDefault="009C66E1" w:rsidP="001C2106">
      <w:pPr>
        <w:tabs>
          <w:tab w:val="left" w:pos="-90"/>
        </w:tabs>
        <w:jc w:val="both"/>
        <w:rPr>
          <w:rFonts w:eastAsia="Times New Roman"/>
          <w:szCs w:val="20"/>
        </w:rPr>
      </w:pPr>
      <w:r>
        <w:rPr>
          <w:rFonts w:eastAsia="Times New Roman"/>
          <w:szCs w:val="20"/>
        </w:rPr>
        <w:tab/>
      </w:r>
      <w:r w:rsidR="00833333">
        <w:rPr>
          <w:rFonts w:eastAsia="Times New Roman"/>
          <w:szCs w:val="20"/>
        </w:rPr>
        <w:t>On July 21, 2020</w:t>
      </w:r>
      <w:r w:rsidR="00DB17B2">
        <w:rPr>
          <w:rFonts w:eastAsia="Times New Roman"/>
          <w:szCs w:val="20"/>
        </w:rPr>
        <w:t>,</w:t>
      </w:r>
      <w:r w:rsidR="00833333">
        <w:rPr>
          <w:rFonts w:eastAsia="Times New Roman"/>
          <w:szCs w:val="20"/>
        </w:rPr>
        <w:t xml:space="preserve"> t</w:t>
      </w:r>
      <w:r w:rsidR="00170044">
        <w:rPr>
          <w:rFonts w:eastAsia="Times New Roman"/>
          <w:szCs w:val="20"/>
        </w:rPr>
        <w:t>he Authority</w:t>
      </w:r>
      <w:r>
        <w:rPr>
          <w:rFonts w:eastAsia="Times New Roman"/>
          <w:szCs w:val="20"/>
        </w:rPr>
        <w:t xml:space="preserve"> </w:t>
      </w:r>
      <w:r w:rsidR="00F14A71">
        <w:rPr>
          <w:rFonts w:eastAsia="Times New Roman"/>
          <w:szCs w:val="20"/>
        </w:rPr>
        <w:t xml:space="preserve">announced </w:t>
      </w:r>
      <w:r w:rsidR="00DB17B2">
        <w:rPr>
          <w:rFonts w:eastAsia="Times New Roman"/>
          <w:szCs w:val="20"/>
        </w:rPr>
        <w:t>that</w:t>
      </w:r>
      <w:r w:rsidR="00F14A71">
        <w:rPr>
          <w:rFonts w:eastAsia="Times New Roman"/>
          <w:szCs w:val="20"/>
        </w:rPr>
        <w:t xml:space="preserve"> the Shut-off Moratorium for </w:t>
      </w:r>
      <w:r w:rsidR="00DB17B2">
        <w:rPr>
          <w:rFonts w:eastAsia="Times New Roman"/>
          <w:szCs w:val="20"/>
        </w:rPr>
        <w:t xml:space="preserve">non-hardship </w:t>
      </w:r>
      <w:r w:rsidR="00F14A71">
        <w:rPr>
          <w:rFonts w:eastAsia="Times New Roman"/>
          <w:szCs w:val="20"/>
        </w:rPr>
        <w:t>residential customers</w:t>
      </w:r>
      <w:r w:rsidR="00DB17B2">
        <w:rPr>
          <w:rFonts w:eastAsia="Times New Roman"/>
          <w:szCs w:val="20"/>
        </w:rPr>
        <w:t xml:space="preserve"> would conclude on September 9, 2020</w:t>
      </w:r>
      <w:r w:rsidR="00F14A71">
        <w:rPr>
          <w:rFonts w:eastAsia="Times New Roman"/>
          <w:szCs w:val="20"/>
        </w:rPr>
        <w:t xml:space="preserve">, which at that time </w:t>
      </w:r>
      <w:r w:rsidR="00F44D89">
        <w:rPr>
          <w:rFonts w:eastAsia="Times New Roman"/>
          <w:szCs w:val="20"/>
        </w:rPr>
        <w:t>was</w:t>
      </w:r>
      <w:r w:rsidR="00F14A71">
        <w:rPr>
          <w:rFonts w:eastAsia="Times New Roman"/>
          <w:szCs w:val="20"/>
        </w:rPr>
        <w:t xml:space="preserve"> scheduled to end concurrent with the expiration of the </w:t>
      </w:r>
      <w:r w:rsidR="00A233E1">
        <w:rPr>
          <w:rFonts w:eastAsia="Times New Roman"/>
          <w:szCs w:val="20"/>
        </w:rPr>
        <w:t>Governor’s Public Health and Civil Preparedness Emergency declaration</w:t>
      </w:r>
      <w:r w:rsidR="00DB17B2">
        <w:rPr>
          <w:rFonts w:eastAsia="Times New Roman"/>
          <w:szCs w:val="20"/>
        </w:rPr>
        <w:t>. With respect to financial hardship residential customers, however, the Authority extended the Shut-off Moratorium through October 31, 2020.</w:t>
      </w:r>
      <w:r w:rsidR="00A233E1">
        <w:rPr>
          <w:rFonts w:eastAsia="Times New Roman"/>
          <w:szCs w:val="20"/>
        </w:rPr>
        <w:t xml:space="preserve"> </w:t>
      </w:r>
      <w:r w:rsidR="00F14A71">
        <w:rPr>
          <w:rFonts w:eastAsia="Times New Roman"/>
          <w:szCs w:val="20"/>
        </w:rPr>
        <w:t xml:space="preserve"> </w:t>
      </w:r>
    </w:p>
    <w:p w14:paraId="01A6AD69" w14:textId="176C963D" w:rsidR="00F44D89" w:rsidRDefault="00F44D89" w:rsidP="009D1CE6">
      <w:pPr>
        <w:tabs>
          <w:tab w:val="left" w:pos="-90"/>
        </w:tabs>
        <w:jc w:val="both"/>
        <w:rPr>
          <w:rFonts w:eastAsia="Times New Roman"/>
          <w:szCs w:val="20"/>
        </w:rPr>
      </w:pPr>
    </w:p>
    <w:p w14:paraId="3BCC64D9" w14:textId="77777777" w:rsidR="00DB17B2" w:rsidRDefault="00DB17B2" w:rsidP="009D1CE6">
      <w:pPr>
        <w:tabs>
          <w:tab w:val="left" w:pos="-90"/>
        </w:tabs>
        <w:jc w:val="both"/>
        <w:rPr>
          <w:rFonts w:eastAsia="Times New Roman"/>
          <w:szCs w:val="20"/>
        </w:rPr>
      </w:pPr>
    </w:p>
    <w:p w14:paraId="4C7CFA79" w14:textId="07140789" w:rsidR="00F44D89" w:rsidRPr="003A5C72" w:rsidRDefault="00F44D89" w:rsidP="009D1CE6">
      <w:pPr>
        <w:tabs>
          <w:tab w:val="left" w:pos="-90"/>
        </w:tabs>
        <w:jc w:val="both"/>
        <w:rPr>
          <w:rFonts w:eastAsia="Times New Roman"/>
          <w:b/>
          <w:szCs w:val="20"/>
        </w:rPr>
      </w:pPr>
      <w:r w:rsidRPr="003A5C72">
        <w:rPr>
          <w:rFonts w:eastAsia="Times New Roman"/>
          <w:b/>
          <w:szCs w:val="20"/>
        </w:rPr>
        <w:t>Motion Ruling</w:t>
      </w:r>
    </w:p>
    <w:p w14:paraId="68EAAB10" w14:textId="77777777" w:rsidR="00F44D89" w:rsidRDefault="00F44D89" w:rsidP="009D1CE6">
      <w:pPr>
        <w:tabs>
          <w:tab w:val="left" w:pos="-90"/>
        </w:tabs>
        <w:jc w:val="both"/>
        <w:rPr>
          <w:rFonts w:eastAsia="Times New Roman"/>
          <w:szCs w:val="20"/>
        </w:rPr>
      </w:pPr>
    </w:p>
    <w:p w14:paraId="126A7B73" w14:textId="034D2857" w:rsidR="009D1CE6" w:rsidRDefault="00F44D89" w:rsidP="009D1CE6">
      <w:pPr>
        <w:tabs>
          <w:tab w:val="left" w:pos="-90"/>
        </w:tabs>
        <w:jc w:val="both"/>
        <w:rPr>
          <w:rFonts w:eastAsia="Times New Roman"/>
          <w:szCs w:val="20"/>
        </w:rPr>
      </w:pPr>
      <w:r>
        <w:rPr>
          <w:rFonts w:eastAsia="Times New Roman"/>
          <w:szCs w:val="20"/>
        </w:rPr>
        <w:tab/>
      </w:r>
      <w:r w:rsidR="00404A0B">
        <w:rPr>
          <w:rFonts w:eastAsia="Times New Roman"/>
          <w:szCs w:val="20"/>
        </w:rPr>
        <w:t>After review of the Motion, Addendum</w:t>
      </w:r>
      <w:r>
        <w:rPr>
          <w:rFonts w:eastAsia="Times New Roman"/>
          <w:szCs w:val="20"/>
        </w:rPr>
        <w:t>,</w:t>
      </w:r>
      <w:r w:rsidR="00404A0B">
        <w:rPr>
          <w:rFonts w:eastAsia="Times New Roman"/>
          <w:szCs w:val="20"/>
        </w:rPr>
        <w:t xml:space="preserve"> and UI’s </w:t>
      </w:r>
      <w:r w:rsidR="00462697">
        <w:rPr>
          <w:rFonts w:eastAsia="Times New Roman"/>
          <w:szCs w:val="20"/>
        </w:rPr>
        <w:t>R</w:t>
      </w:r>
      <w:r w:rsidR="00404A0B">
        <w:rPr>
          <w:rFonts w:eastAsia="Times New Roman"/>
          <w:szCs w:val="20"/>
        </w:rPr>
        <w:t>esponse</w:t>
      </w:r>
      <w:r>
        <w:rPr>
          <w:rFonts w:eastAsia="Times New Roman"/>
          <w:szCs w:val="20"/>
        </w:rPr>
        <w:t>,</w:t>
      </w:r>
      <w:r w:rsidR="00404A0B">
        <w:rPr>
          <w:rFonts w:eastAsia="Times New Roman"/>
          <w:szCs w:val="20"/>
        </w:rPr>
        <w:t xml:space="preserve"> the Authority is grant</w:t>
      </w:r>
      <w:r w:rsidR="00462697">
        <w:rPr>
          <w:rFonts w:eastAsia="Times New Roman"/>
          <w:szCs w:val="20"/>
        </w:rPr>
        <w:t>ing</w:t>
      </w:r>
      <w:r w:rsidR="00404A0B">
        <w:rPr>
          <w:rFonts w:eastAsia="Times New Roman"/>
          <w:szCs w:val="20"/>
        </w:rPr>
        <w:t xml:space="preserve"> CCA’s and </w:t>
      </w:r>
      <w:r w:rsidR="009D1CE6">
        <w:rPr>
          <w:rFonts w:eastAsia="Times New Roman"/>
          <w:szCs w:val="20"/>
        </w:rPr>
        <w:t>Legal Services’ Motion to extend the Shut-off Moratorium through October 1, 2020 for non-hardship residential customers.</w:t>
      </w:r>
      <w:r w:rsidR="008B7150">
        <w:rPr>
          <w:rFonts w:eastAsia="Times New Roman"/>
          <w:szCs w:val="20"/>
        </w:rPr>
        <w:t xml:space="preserve"> </w:t>
      </w:r>
      <w:r w:rsidR="009D1CE6">
        <w:rPr>
          <w:rFonts w:eastAsia="Times New Roman"/>
          <w:szCs w:val="20"/>
        </w:rPr>
        <w:t xml:space="preserve"> </w:t>
      </w:r>
      <w:r w:rsidR="00462697">
        <w:rPr>
          <w:rFonts w:eastAsia="Times New Roman"/>
          <w:szCs w:val="20"/>
        </w:rPr>
        <w:t>Additionally, t</w:t>
      </w:r>
      <w:r w:rsidR="009C79BE">
        <w:rPr>
          <w:rFonts w:eastAsia="Times New Roman"/>
          <w:szCs w:val="20"/>
        </w:rPr>
        <w:t xml:space="preserve">hrough October 31, 2020, no residential or non-residential customer may have their service terminated without first receiving a targeted text and/or email </w:t>
      </w:r>
      <w:r w:rsidR="00462697">
        <w:rPr>
          <w:rFonts w:eastAsia="Times New Roman"/>
          <w:szCs w:val="20"/>
        </w:rPr>
        <w:t>providing</w:t>
      </w:r>
      <w:r>
        <w:rPr>
          <w:rFonts w:eastAsia="Times New Roman"/>
          <w:szCs w:val="20"/>
        </w:rPr>
        <w:t xml:space="preserve"> </w:t>
      </w:r>
      <w:r w:rsidR="009C79BE">
        <w:rPr>
          <w:rFonts w:eastAsia="Times New Roman"/>
          <w:szCs w:val="20"/>
        </w:rPr>
        <w:t>hardship program eligibility information, COVID-19 Payment Program information,</w:t>
      </w:r>
      <w:r w:rsidR="00DB17B2" w:rsidRPr="00DB17B2">
        <w:rPr>
          <w:rStyle w:val="FootnoteReference"/>
          <w:rFonts w:eastAsia="Times New Roman"/>
          <w:szCs w:val="20"/>
        </w:rPr>
        <w:t xml:space="preserve"> </w:t>
      </w:r>
      <w:r w:rsidR="00DB17B2">
        <w:rPr>
          <w:rStyle w:val="FootnoteReference"/>
          <w:rFonts w:eastAsia="Times New Roman"/>
          <w:szCs w:val="20"/>
        </w:rPr>
        <w:footnoteReference w:id="4"/>
      </w:r>
      <w:r w:rsidR="009C79BE">
        <w:rPr>
          <w:rFonts w:eastAsia="Times New Roman"/>
          <w:szCs w:val="20"/>
        </w:rPr>
        <w:t xml:space="preserve"> or other assistance information</w:t>
      </w:r>
      <w:r w:rsidR="00462697">
        <w:rPr>
          <w:rFonts w:eastAsia="Times New Roman"/>
          <w:szCs w:val="20"/>
        </w:rPr>
        <w:t>,</w:t>
      </w:r>
      <w:r w:rsidR="009C79BE">
        <w:rPr>
          <w:rFonts w:eastAsia="Times New Roman"/>
          <w:szCs w:val="20"/>
        </w:rPr>
        <w:t xml:space="preserve"> as applicable.</w:t>
      </w:r>
      <w:r w:rsidR="008B7150">
        <w:rPr>
          <w:rFonts w:eastAsia="Times New Roman"/>
          <w:szCs w:val="20"/>
        </w:rPr>
        <w:t xml:space="preserve"> </w:t>
      </w:r>
      <w:r w:rsidR="009C79BE">
        <w:rPr>
          <w:rFonts w:eastAsia="Times New Roman"/>
          <w:szCs w:val="20"/>
        </w:rPr>
        <w:t xml:space="preserve"> If </w:t>
      </w:r>
      <w:r w:rsidR="00581E09">
        <w:rPr>
          <w:rFonts w:eastAsia="Times New Roman"/>
          <w:szCs w:val="20"/>
        </w:rPr>
        <w:t>the customer sign</w:t>
      </w:r>
      <w:r w:rsidR="00462697">
        <w:rPr>
          <w:rFonts w:eastAsia="Times New Roman"/>
          <w:szCs w:val="20"/>
        </w:rPr>
        <w:t>s</w:t>
      </w:r>
      <w:r w:rsidR="00581E09">
        <w:rPr>
          <w:rFonts w:eastAsia="Times New Roman"/>
          <w:szCs w:val="20"/>
        </w:rPr>
        <w:t xml:space="preserve"> up for either a hardship program or the COVID-19 Payment Program before their termination date, their service shall not be disconnected</w:t>
      </w:r>
      <w:r w:rsidR="00A84761">
        <w:rPr>
          <w:rFonts w:eastAsia="Times New Roman"/>
          <w:szCs w:val="20"/>
        </w:rPr>
        <w:t>, consistent with the Interim Decision Clarification</w:t>
      </w:r>
      <w:r w:rsidR="00DB17B2">
        <w:rPr>
          <w:rFonts w:eastAsia="Times New Roman"/>
          <w:szCs w:val="20"/>
        </w:rPr>
        <w:t xml:space="preserve"> ruling</w:t>
      </w:r>
      <w:r w:rsidR="00A84761">
        <w:rPr>
          <w:rFonts w:eastAsia="Times New Roman"/>
          <w:szCs w:val="20"/>
        </w:rPr>
        <w:t xml:space="preserve">, dated May 15, 2020. </w:t>
      </w:r>
    </w:p>
    <w:p w14:paraId="5CF24907" w14:textId="77777777" w:rsidR="00A84761" w:rsidRDefault="00A84761" w:rsidP="009D1CE6">
      <w:pPr>
        <w:tabs>
          <w:tab w:val="left" w:pos="-90"/>
        </w:tabs>
        <w:jc w:val="both"/>
        <w:rPr>
          <w:rFonts w:eastAsia="Times New Roman"/>
          <w:szCs w:val="20"/>
        </w:rPr>
      </w:pPr>
    </w:p>
    <w:p w14:paraId="1DB62068" w14:textId="6CFC4799" w:rsidR="009D1CE6" w:rsidRDefault="009D1CE6" w:rsidP="000C3A34">
      <w:pPr>
        <w:tabs>
          <w:tab w:val="left" w:pos="-90"/>
        </w:tabs>
        <w:jc w:val="both"/>
        <w:rPr>
          <w:rFonts w:eastAsia="Times New Roman"/>
          <w:szCs w:val="20"/>
        </w:rPr>
      </w:pPr>
      <w:r>
        <w:rPr>
          <w:rFonts w:eastAsia="Times New Roman"/>
          <w:szCs w:val="20"/>
        </w:rPr>
        <w:tab/>
        <w:t xml:space="preserve">In order to ensure that all residential and </w:t>
      </w:r>
      <w:r w:rsidR="009C79BE">
        <w:rPr>
          <w:rFonts w:eastAsia="Times New Roman"/>
          <w:szCs w:val="20"/>
        </w:rPr>
        <w:t>non-residential</w:t>
      </w:r>
      <w:r>
        <w:rPr>
          <w:rFonts w:eastAsia="Times New Roman"/>
          <w:szCs w:val="20"/>
        </w:rPr>
        <w:t xml:space="preserve"> customers are aware of any updates to the Shut-off Moratorium, the COVID-19 Payment Program, and all other </w:t>
      </w:r>
      <w:r w:rsidR="002D4567">
        <w:rPr>
          <w:rFonts w:eastAsia="Times New Roman"/>
          <w:szCs w:val="20"/>
        </w:rPr>
        <w:t>payment or energy assistance programs offered</w:t>
      </w:r>
      <w:r w:rsidR="00684D97">
        <w:rPr>
          <w:rFonts w:eastAsia="Times New Roman"/>
          <w:szCs w:val="20"/>
        </w:rPr>
        <w:t>,</w:t>
      </w:r>
      <w:r w:rsidR="002D4567">
        <w:rPr>
          <w:rFonts w:eastAsia="Times New Roman"/>
          <w:szCs w:val="20"/>
        </w:rPr>
        <w:t xml:space="preserve"> </w:t>
      </w:r>
      <w:r w:rsidR="00F44D89">
        <w:rPr>
          <w:rFonts w:eastAsia="Times New Roman"/>
          <w:szCs w:val="20"/>
        </w:rPr>
        <w:t>each of the Public Service Utilities shall issue a press release on September 9, 2020</w:t>
      </w:r>
      <w:r w:rsidR="00DB17B2">
        <w:rPr>
          <w:rFonts w:eastAsia="Times New Roman"/>
          <w:szCs w:val="20"/>
        </w:rPr>
        <w:t>,</w:t>
      </w:r>
      <w:r w:rsidR="00F44D89">
        <w:rPr>
          <w:rFonts w:eastAsia="Times New Roman"/>
          <w:szCs w:val="20"/>
        </w:rPr>
        <w:t xml:space="preserve"> summarizing such information.  Further, the</w:t>
      </w:r>
      <w:r w:rsidR="002D4567">
        <w:rPr>
          <w:rFonts w:eastAsia="Times New Roman"/>
          <w:szCs w:val="20"/>
        </w:rPr>
        <w:t xml:space="preserve"> electric distribution companies shall post </w:t>
      </w:r>
      <w:r w:rsidR="00DB17B2">
        <w:rPr>
          <w:rFonts w:eastAsia="Times New Roman"/>
          <w:szCs w:val="20"/>
        </w:rPr>
        <w:t xml:space="preserve">applicable information </w:t>
      </w:r>
      <w:r w:rsidR="002D4567">
        <w:rPr>
          <w:rFonts w:eastAsia="Times New Roman"/>
          <w:szCs w:val="20"/>
        </w:rPr>
        <w:t>on</w:t>
      </w:r>
      <w:r w:rsidR="00DB17B2">
        <w:rPr>
          <w:rFonts w:eastAsia="Times New Roman"/>
          <w:szCs w:val="20"/>
        </w:rPr>
        <w:t xml:space="preserve"> the</w:t>
      </w:r>
      <w:r w:rsidR="002D4567">
        <w:rPr>
          <w:rFonts w:eastAsia="Times New Roman"/>
          <w:szCs w:val="20"/>
        </w:rPr>
        <w:t xml:space="preserve"> Energize CT </w:t>
      </w:r>
      <w:r w:rsidR="00DB17B2">
        <w:rPr>
          <w:rFonts w:eastAsia="Times New Roman"/>
          <w:szCs w:val="20"/>
        </w:rPr>
        <w:t xml:space="preserve">website, </w:t>
      </w:r>
      <w:r w:rsidR="002D4567">
        <w:rPr>
          <w:rFonts w:eastAsia="Times New Roman"/>
          <w:szCs w:val="20"/>
        </w:rPr>
        <w:t xml:space="preserve">and all Public Service Utilities must post </w:t>
      </w:r>
      <w:r w:rsidR="00DB17B2">
        <w:rPr>
          <w:rFonts w:eastAsia="Times New Roman"/>
          <w:szCs w:val="20"/>
        </w:rPr>
        <w:t>to their respective</w:t>
      </w:r>
      <w:r w:rsidR="002D4567">
        <w:rPr>
          <w:rFonts w:eastAsia="Times New Roman"/>
          <w:szCs w:val="20"/>
        </w:rPr>
        <w:t xml:space="preserve"> social media sites </w:t>
      </w:r>
      <w:r w:rsidR="00684D97">
        <w:rPr>
          <w:rFonts w:eastAsia="Times New Roman"/>
          <w:szCs w:val="20"/>
        </w:rPr>
        <w:t xml:space="preserve">and home pages the summary of </w:t>
      </w:r>
      <w:r w:rsidR="002D4567">
        <w:rPr>
          <w:rFonts w:eastAsia="Times New Roman"/>
          <w:szCs w:val="20"/>
        </w:rPr>
        <w:t xml:space="preserve">this information </w:t>
      </w:r>
      <w:r w:rsidR="00DB17B2">
        <w:rPr>
          <w:rFonts w:eastAsia="Times New Roman"/>
          <w:szCs w:val="20"/>
        </w:rPr>
        <w:t xml:space="preserve">at a minimum </w:t>
      </w:r>
      <w:r w:rsidR="002D4567">
        <w:rPr>
          <w:rFonts w:eastAsia="Times New Roman"/>
          <w:szCs w:val="20"/>
        </w:rPr>
        <w:t>on</w:t>
      </w:r>
      <w:r w:rsidR="00DB17B2">
        <w:rPr>
          <w:rFonts w:eastAsia="Times New Roman"/>
          <w:szCs w:val="20"/>
        </w:rPr>
        <w:t xml:space="preserve"> the following dates: </w:t>
      </w:r>
      <w:r w:rsidR="002D4567">
        <w:rPr>
          <w:rFonts w:eastAsia="Times New Roman"/>
          <w:szCs w:val="20"/>
        </w:rPr>
        <w:t xml:space="preserve"> September 9, 2020, September 23, 2020, </w:t>
      </w:r>
      <w:r w:rsidR="00DB17B2">
        <w:rPr>
          <w:rFonts w:eastAsia="Times New Roman"/>
          <w:szCs w:val="20"/>
        </w:rPr>
        <w:t xml:space="preserve">and </w:t>
      </w:r>
      <w:r w:rsidR="002D4567">
        <w:rPr>
          <w:rFonts w:eastAsia="Times New Roman"/>
          <w:szCs w:val="20"/>
        </w:rPr>
        <w:t xml:space="preserve">October 21, 2020, </w:t>
      </w:r>
      <w:r w:rsidR="00DB17B2">
        <w:rPr>
          <w:rFonts w:eastAsia="Times New Roman"/>
          <w:szCs w:val="20"/>
        </w:rPr>
        <w:t xml:space="preserve">as well as at </w:t>
      </w:r>
      <w:r w:rsidR="002D4567">
        <w:rPr>
          <w:rFonts w:eastAsia="Times New Roman"/>
          <w:szCs w:val="20"/>
        </w:rPr>
        <w:t xml:space="preserve">any time there is an update regarding this information. The Public Service Utilities must </w:t>
      </w:r>
      <w:r w:rsidR="00684D97">
        <w:rPr>
          <w:rFonts w:eastAsia="Times New Roman"/>
          <w:szCs w:val="20"/>
        </w:rPr>
        <w:t xml:space="preserve">also </w:t>
      </w:r>
      <w:r w:rsidR="002D4567">
        <w:rPr>
          <w:rFonts w:eastAsia="Times New Roman"/>
          <w:szCs w:val="20"/>
        </w:rPr>
        <w:t xml:space="preserve">send </w:t>
      </w:r>
      <w:r w:rsidR="002D4567">
        <w:rPr>
          <w:rFonts w:eastAsia="Times New Roman"/>
          <w:szCs w:val="20"/>
        </w:rPr>
        <w:lastRenderedPageBreak/>
        <w:t>emails and/or texts to their customers summarizing this information on September 9, 2020, September 23, 2020, October 21, 2020, and any time there is an update regarding this information.</w:t>
      </w:r>
    </w:p>
    <w:p w14:paraId="3C553A8A" w14:textId="2CB392DB" w:rsidR="000025C9" w:rsidRDefault="000025C9" w:rsidP="000C3A34">
      <w:pPr>
        <w:tabs>
          <w:tab w:val="left" w:pos="-90"/>
        </w:tabs>
        <w:jc w:val="both"/>
        <w:rPr>
          <w:rFonts w:eastAsia="Times New Roman"/>
          <w:szCs w:val="20"/>
        </w:rPr>
      </w:pPr>
    </w:p>
    <w:p w14:paraId="7779AEF1" w14:textId="072B3D25" w:rsidR="009C79BE" w:rsidRPr="009C79BE" w:rsidRDefault="002D4567" w:rsidP="009C79BE">
      <w:pPr>
        <w:ind w:firstLine="720"/>
        <w:jc w:val="both"/>
        <w:rPr>
          <w:color w:val="000000"/>
        </w:rPr>
      </w:pPr>
      <w:r>
        <w:rPr>
          <w:color w:val="000000"/>
        </w:rPr>
        <w:t>Further, t</w:t>
      </w:r>
      <w:r w:rsidR="000025C9" w:rsidRPr="008B14B3">
        <w:rPr>
          <w:color w:val="000000"/>
        </w:rPr>
        <w:t>he Authority hereby delegates the</w:t>
      </w:r>
      <w:r w:rsidR="003E5223">
        <w:rPr>
          <w:color w:val="000000"/>
        </w:rPr>
        <w:t xml:space="preserve"> investigation </w:t>
      </w:r>
      <w:r w:rsidR="001556CA">
        <w:rPr>
          <w:color w:val="000000"/>
        </w:rPr>
        <w:t>into the Public Service Utilities’</w:t>
      </w:r>
      <w:r w:rsidR="003E5223">
        <w:rPr>
          <w:color w:val="000000"/>
        </w:rPr>
        <w:t xml:space="preserve"> compliance </w:t>
      </w:r>
      <w:r w:rsidR="001404B6">
        <w:rPr>
          <w:color w:val="000000"/>
        </w:rPr>
        <w:t xml:space="preserve">with directives issued </w:t>
      </w:r>
      <w:r w:rsidR="003E5223">
        <w:rPr>
          <w:color w:val="000000"/>
        </w:rPr>
        <w:t xml:space="preserve">in </w:t>
      </w:r>
      <w:r w:rsidR="00F44D89">
        <w:rPr>
          <w:color w:val="000000"/>
        </w:rPr>
        <w:t>the above-captioned proceeding</w:t>
      </w:r>
      <w:r w:rsidR="003E5223">
        <w:rPr>
          <w:color w:val="000000"/>
        </w:rPr>
        <w:t xml:space="preserve"> </w:t>
      </w:r>
      <w:r w:rsidR="000025C9" w:rsidRPr="008B14B3">
        <w:rPr>
          <w:color w:val="000000"/>
        </w:rPr>
        <w:t>to its</w:t>
      </w:r>
      <w:r w:rsidR="000025C9">
        <w:rPr>
          <w:color w:val="000000"/>
        </w:rPr>
        <w:t xml:space="preserve"> </w:t>
      </w:r>
      <w:r w:rsidR="000025C9" w:rsidRPr="008B14B3">
        <w:rPr>
          <w:color w:val="000000"/>
        </w:rPr>
        <w:t>Office of Education, Outreach</w:t>
      </w:r>
      <w:r w:rsidR="00F44D89">
        <w:rPr>
          <w:color w:val="000000"/>
        </w:rPr>
        <w:t>,</w:t>
      </w:r>
      <w:r w:rsidR="000025C9" w:rsidRPr="008B14B3">
        <w:rPr>
          <w:color w:val="000000"/>
        </w:rPr>
        <w:t xml:space="preserve"> and Enforcement (EOE) pursuant to Conn. Gen. Stat. § 16-19j.</w:t>
      </w:r>
      <w:r w:rsidR="000025C9">
        <w:rPr>
          <w:color w:val="000000"/>
        </w:rPr>
        <w:t xml:space="preserve">  </w:t>
      </w:r>
      <w:r w:rsidR="001404B6">
        <w:rPr>
          <w:color w:val="000000"/>
        </w:rPr>
        <w:t>This delegation includes</w:t>
      </w:r>
      <w:r w:rsidR="009C79BE">
        <w:rPr>
          <w:color w:val="000000"/>
        </w:rPr>
        <w:t xml:space="preserve"> the investigation of any and all communications</w:t>
      </w:r>
      <w:r w:rsidR="00684D97">
        <w:rPr>
          <w:color w:val="000000"/>
        </w:rPr>
        <w:t xml:space="preserve"> and communications processes</w:t>
      </w:r>
      <w:r w:rsidR="009C79BE">
        <w:rPr>
          <w:color w:val="000000"/>
        </w:rPr>
        <w:t xml:space="preserve"> </w:t>
      </w:r>
      <w:r w:rsidR="001404B6">
        <w:rPr>
          <w:color w:val="000000"/>
        </w:rPr>
        <w:t>dictated by the Authority in this proceeding since April 29, 2020, between</w:t>
      </w:r>
      <w:r w:rsidR="009C79BE">
        <w:rPr>
          <w:color w:val="000000"/>
        </w:rPr>
        <w:t xml:space="preserve"> the Public Service Utilities</w:t>
      </w:r>
      <w:r w:rsidR="001404B6">
        <w:rPr>
          <w:color w:val="000000"/>
        </w:rPr>
        <w:t xml:space="preserve"> and</w:t>
      </w:r>
      <w:r w:rsidR="009C79BE">
        <w:rPr>
          <w:color w:val="000000"/>
        </w:rPr>
        <w:t xml:space="preserve"> their customers</w:t>
      </w:r>
      <w:r w:rsidR="001404B6">
        <w:rPr>
          <w:color w:val="000000"/>
        </w:rPr>
        <w:t>, including compliance with the communications directives embedded in today’s ruling</w:t>
      </w:r>
      <w:r w:rsidR="009C79BE">
        <w:rPr>
          <w:color w:val="000000"/>
        </w:rPr>
        <w:t xml:space="preserve">.  EOE shall provide a status report to the Authority </w:t>
      </w:r>
      <w:r w:rsidR="001404B6">
        <w:rPr>
          <w:color w:val="000000"/>
        </w:rPr>
        <w:t>regarding its investigation no later than</w:t>
      </w:r>
      <w:r w:rsidR="009C79BE">
        <w:rPr>
          <w:color w:val="000000"/>
        </w:rPr>
        <w:t xml:space="preserve"> </w:t>
      </w:r>
      <w:r w:rsidR="009C79BE" w:rsidRPr="009C79BE">
        <w:rPr>
          <w:b/>
          <w:color w:val="000000"/>
        </w:rPr>
        <w:t>October 30, 2020.</w:t>
      </w:r>
      <w:r w:rsidR="009C79BE">
        <w:rPr>
          <w:color w:val="000000"/>
        </w:rPr>
        <w:t xml:space="preserve"> </w:t>
      </w:r>
      <w:r w:rsidR="00AF35FB">
        <w:rPr>
          <w:color w:val="000000"/>
        </w:rPr>
        <w:t xml:space="preserve">To assist in the investigation, the </w:t>
      </w:r>
      <w:r w:rsidR="009C79BE">
        <w:rPr>
          <w:color w:val="000000"/>
        </w:rPr>
        <w:t xml:space="preserve">Public Services Utilities must submit the </w:t>
      </w:r>
      <w:r w:rsidR="00AF35FB">
        <w:rPr>
          <w:color w:val="000000"/>
        </w:rPr>
        <w:t xml:space="preserve">customer call recordings and any associated </w:t>
      </w:r>
      <w:r w:rsidR="009C79BE">
        <w:rPr>
          <w:color w:val="000000"/>
        </w:rPr>
        <w:t>information request</w:t>
      </w:r>
      <w:r w:rsidR="00AF35FB">
        <w:rPr>
          <w:color w:val="000000"/>
        </w:rPr>
        <w:t>ed</w:t>
      </w:r>
      <w:r w:rsidR="009C79BE">
        <w:rPr>
          <w:color w:val="000000"/>
        </w:rPr>
        <w:t xml:space="preserve"> by EOE under protective order within </w:t>
      </w:r>
      <w:r w:rsidR="009C79BE">
        <w:rPr>
          <w:b/>
          <w:i/>
          <w:color w:val="000000"/>
          <w:u w:val="single"/>
        </w:rPr>
        <w:t>one week</w:t>
      </w:r>
      <w:r w:rsidR="009C79BE">
        <w:rPr>
          <w:color w:val="000000"/>
        </w:rPr>
        <w:t xml:space="preserve"> after the request is made.</w:t>
      </w:r>
      <w:r w:rsidR="00AF35FB">
        <w:rPr>
          <w:rStyle w:val="FootnoteReference"/>
          <w:color w:val="000000"/>
        </w:rPr>
        <w:footnoteReference w:id="5"/>
      </w:r>
      <w:r w:rsidR="009C79BE">
        <w:rPr>
          <w:color w:val="000000"/>
        </w:rPr>
        <w:t xml:space="preserve"> </w:t>
      </w:r>
    </w:p>
    <w:p w14:paraId="16067EB0" w14:textId="77777777" w:rsidR="009C79BE" w:rsidRDefault="009C79BE" w:rsidP="00581E09">
      <w:pPr>
        <w:jc w:val="both"/>
        <w:rPr>
          <w:color w:val="000000"/>
          <w:szCs w:val="24"/>
        </w:rPr>
      </w:pPr>
    </w:p>
    <w:p w14:paraId="592AFAC3" w14:textId="24D858E4" w:rsidR="000025C9" w:rsidRPr="009C79BE" w:rsidRDefault="000025C9" w:rsidP="009C79BE">
      <w:pPr>
        <w:ind w:firstLine="720"/>
        <w:jc w:val="both"/>
        <w:rPr>
          <w:color w:val="000000"/>
        </w:rPr>
      </w:pPr>
      <w:r>
        <w:rPr>
          <w:color w:val="000000"/>
          <w:szCs w:val="24"/>
        </w:rPr>
        <w:t>T</w:t>
      </w:r>
      <w:r w:rsidRPr="007134E9">
        <w:rPr>
          <w:color w:val="000000"/>
          <w:szCs w:val="24"/>
        </w:rPr>
        <w:t xml:space="preserve">he </w:t>
      </w:r>
      <w:r>
        <w:rPr>
          <w:color w:val="000000"/>
          <w:szCs w:val="24"/>
        </w:rPr>
        <w:t xml:space="preserve">delegation of </w:t>
      </w:r>
      <w:r w:rsidR="00F44D89">
        <w:rPr>
          <w:color w:val="000000"/>
          <w:szCs w:val="24"/>
        </w:rPr>
        <w:t>the above-captioned proceeding</w:t>
      </w:r>
      <w:r>
        <w:rPr>
          <w:color w:val="000000"/>
          <w:szCs w:val="24"/>
        </w:rPr>
        <w:t xml:space="preserve"> to </w:t>
      </w:r>
      <w:r w:rsidRPr="007134E9">
        <w:rPr>
          <w:color w:val="000000"/>
          <w:szCs w:val="24"/>
        </w:rPr>
        <w:t xml:space="preserve">EOE </w:t>
      </w:r>
      <w:r w:rsidR="003E5223">
        <w:rPr>
          <w:color w:val="000000"/>
          <w:szCs w:val="24"/>
        </w:rPr>
        <w:t xml:space="preserve">is intended </w:t>
      </w:r>
      <w:r w:rsidRPr="007134E9">
        <w:rPr>
          <w:color w:val="000000"/>
          <w:szCs w:val="24"/>
        </w:rPr>
        <w:t xml:space="preserve">to provide ratepayers and parties that interact with the Authority an improved customer service experience by allowing trained </w:t>
      </w:r>
      <w:r>
        <w:rPr>
          <w:color w:val="000000"/>
          <w:szCs w:val="24"/>
        </w:rPr>
        <w:t xml:space="preserve">EOE </w:t>
      </w:r>
      <w:r w:rsidRPr="007134E9">
        <w:rPr>
          <w:color w:val="000000"/>
          <w:szCs w:val="24"/>
        </w:rPr>
        <w:t xml:space="preserve">staff to interact directly with </w:t>
      </w:r>
      <w:r>
        <w:rPr>
          <w:color w:val="000000"/>
          <w:szCs w:val="24"/>
        </w:rPr>
        <w:t>participants</w:t>
      </w:r>
      <w:r w:rsidRPr="007134E9">
        <w:rPr>
          <w:color w:val="000000"/>
          <w:szCs w:val="24"/>
        </w:rPr>
        <w:t xml:space="preserve">.  </w:t>
      </w:r>
      <w:r>
        <w:rPr>
          <w:color w:val="000000"/>
          <w:szCs w:val="24"/>
        </w:rPr>
        <w:t>Notably</w:t>
      </w:r>
      <w:r w:rsidRPr="007134E9">
        <w:rPr>
          <w:color w:val="000000"/>
          <w:szCs w:val="24"/>
        </w:rPr>
        <w:t xml:space="preserve">, the prohibition against ex parte communications </w:t>
      </w:r>
      <w:r>
        <w:rPr>
          <w:color w:val="000000"/>
          <w:szCs w:val="24"/>
        </w:rPr>
        <w:t xml:space="preserve">is waived </w:t>
      </w:r>
      <w:r w:rsidRPr="007134E9">
        <w:rPr>
          <w:color w:val="000000"/>
          <w:szCs w:val="24"/>
        </w:rPr>
        <w:t>between EOE staff and the public or regulated entities</w:t>
      </w:r>
      <w:r>
        <w:rPr>
          <w:color w:val="000000"/>
          <w:szCs w:val="24"/>
        </w:rPr>
        <w:t>.</w:t>
      </w:r>
      <w:r w:rsidRPr="007134E9">
        <w:rPr>
          <w:color w:val="000000"/>
          <w:szCs w:val="24"/>
        </w:rPr>
        <w:t xml:space="preserve">  </w:t>
      </w:r>
      <w:r>
        <w:rPr>
          <w:color w:val="000000"/>
          <w:szCs w:val="24"/>
        </w:rPr>
        <w:t>Although</w:t>
      </w:r>
      <w:r w:rsidRPr="007134E9">
        <w:rPr>
          <w:color w:val="000000"/>
          <w:szCs w:val="24"/>
        </w:rPr>
        <w:t xml:space="preserve"> EOE staff are prohibited from speaking on behalf of the Authority or speculating regarding the Authority’s ultimate disposition of a matter, </w:t>
      </w:r>
      <w:r>
        <w:rPr>
          <w:color w:val="000000"/>
          <w:szCs w:val="24"/>
        </w:rPr>
        <w:t>EOE staff</w:t>
      </w:r>
      <w:r w:rsidRPr="007134E9">
        <w:rPr>
          <w:color w:val="000000"/>
          <w:szCs w:val="24"/>
        </w:rPr>
        <w:t xml:space="preserve"> may </w:t>
      </w:r>
      <w:r>
        <w:rPr>
          <w:color w:val="000000"/>
          <w:szCs w:val="24"/>
        </w:rPr>
        <w:t>use</w:t>
      </w:r>
      <w:r w:rsidRPr="007134E9">
        <w:rPr>
          <w:color w:val="000000"/>
          <w:szCs w:val="24"/>
        </w:rPr>
        <w:t xml:space="preserve"> their training and expertise to answer questions.  </w:t>
      </w:r>
      <w:r>
        <w:rPr>
          <w:rFonts w:cs="Calibri"/>
          <w:szCs w:val="24"/>
        </w:rPr>
        <w:t>However</w:t>
      </w:r>
      <w:r w:rsidRPr="007134E9">
        <w:rPr>
          <w:rFonts w:cs="Calibri"/>
          <w:szCs w:val="24"/>
        </w:rPr>
        <w:t xml:space="preserve">, </w:t>
      </w:r>
      <w:r>
        <w:rPr>
          <w:rFonts w:cs="Calibri"/>
          <w:szCs w:val="24"/>
        </w:rPr>
        <w:t xml:space="preserve">the prohibition on </w:t>
      </w:r>
      <w:r w:rsidRPr="000A7480">
        <w:rPr>
          <w:rFonts w:cs="Calibri"/>
          <w:szCs w:val="24"/>
        </w:rPr>
        <w:t>ex parte</w:t>
      </w:r>
      <w:r w:rsidRPr="007134E9">
        <w:rPr>
          <w:rFonts w:cs="Calibri"/>
          <w:i/>
          <w:szCs w:val="24"/>
        </w:rPr>
        <w:t xml:space="preserve"> </w:t>
      </w:r>
      <w:r>
        <w:rPr>
          <w:rFonts w:cs="Calibri"/>
          <w:szCs w:val="24"/>
        </w:rPr>
        <w:t>communications remains</w:t>
      </w:r>
      <w:r w:rsidRPr="007134E9">
        <w:rPr>
          <w:rFonts w:cs="Calibri"/>
          <w:szCs w:val="24"/>
        </w:rPr>
        <w:t xml:space="preserve"> in effect between EOE staff and PURA </w:t>
      </w:r>
      <w:r>
        <w:rPr>
          <w:rFonts w:cs="Calibri"/>
          <w:szCs w:val="24"/>
        </w:rPr>
        <w:t>d</w:t>
      </w:r>
      <w:r w:rsidRPr="007134E9">
        <w:rPr>
          <w:rFonts w:cs="Calibri"/>
          <w:szCs w:val="24"/>
        </w:rPr>
        <w:t xml:space="preserve">ecisional </w:t>
      </w:r>
      <w:r>
        <w:rPr>
          <w:rFonts w:cs="Calibri"/>
          <w:szCs w:val="24"/>
        </w:rPr>
        <w:t>s</w:t>
      </w:r>
      <w:r w:rsidRPr="007134E9">
        <w:rPr>
          <w:rFonts w:cs="Calibri"/>
          <w:szCs w:val="24"/>
        </w:rPr>
        <w:t>taff</w:t>
      </w:r>
      <w:r>
        <w:rPr>
          <w:rFonts w:cs="Calibri"/>
          <w:szCs w:val="24"/>
        </w:rPr>
        <w:t xml:space="preserve">, and between PURA decisional staff and the </w:t>
      </w:r>
      <w:r w:rsidRPr="008D14D7">
        <w:rPr>
          <w:rFonts w:cs="Calibri"/>
          <w:szCs w:val="24"/>
        </w:rPr>
        <w:t>applicants and any other participants in this proceeding</w:t>
      </w:r>
      <w:r>
        <w:rPr>
          <w:rFonts w:cs="Calibri"/>
          <w:szCs w:val="24"/>
        </w:rPr>
        <w:t>.</w:t>
      </w:r>
      <w:r w:rsidRPr="007134E9">
        <w:rPr>
          <w:rFonts w:cs="Calibri"/>
          <w:szCs w:val="24"/>
        </w:rPr>
        <w:t xml:space="preserve"> </w:t>
      </w:r>
      <w:r>
        <w:rPr>
          <w:rFonts w:cs="Calibri"/>
          <w:szCs w:val="24"/>
        </w:rPr>
        <w:t xml:space="preserve"> I</w:t>
      </w:r>
      <w:r w:rsidRPr="007134E9">
        <w:rPr>
          <w:rFonts w:cs="Calibri"/>
          <w:szCs w:val="24"/>
        </w:rPr>
        <w:t xml:space="preserve">n the event </w:t>
      </w:r>
      <w:r w:rsidR="00AF35FB">
        <w:rPr>
          <w:rFonts w:cs="Calibri"/>
          <w:szCs w:val="24"/>
        </w:rPr>
        <w:t xml:space="preserve">that </w:t>
      </w:r>
      <w:r w:rsidRPr="007134E9">
        <w:rPr>
          <w:rFonts w:cs="Calibri"/>
          <w:szCs w:val="24"/>
        </w:rPr>
        <w:t>the</w:t>
      </w:r>
      <w:r w:rsidR="00AF35FB">
        <w:rPr>
          <w:rFonts w:cs="Calibri"/>
          <w:szCs w:val="24"/>
        </w:rPr>
        <w:t xml:space="preserve"> resulting</w:t>
      </w:r>
      <w:r w:rsidRPr="007134E9">
        <w:rPr>
          <w:rFonts w:cs="Calibri"/>
          <w:szCs w:val="24"/>
        </w:rPr>
        <w:t xml:space="preserve"> matter requires adjudication, the EOE will be afforded all rights and obligations ascribed to participants in the proceeding.</w:t>
      </w:r>
    </w:p>
    <w:p w14:paraId="29B5D9F7" w14:textId="413239E4" w:rsidR="00CE6447" w:rsidRDefault="00CE6447" w:rsidP="00A9787F">
      <w:pPr>
        <w:tabs>
          <w:tab w:val="left" w:pos="-90"/>
        </w:tabs>
        <w:jc w:val="both"/>
        <w:rPr>
          <w:rFonts w:eastAsia="Times New Roman"/>
          <w:szCs w:val="20"/>
        </w:rPr>
      </w:pPr>
    </w:p>
    <w:p w14:paraId="574C1CA8" w14:textId="39037584" w:rsidR="006A7C05" w:rsidRDefault="00581E09" w:rsidP="00A9787F">
      <w:pPr>
        <w:tabs>
          <w:tab w:val="left" w:pos="-90"/>
        </w:tabs>
        <w:jc w:val="both"/>
        <w:rPr>
          <w:rFonts w:eastAsia="Times New Roman"/>
          <w:szCs w:val="20"/>
        </w:rPr>
      </w:pPr>
      <w:r>
        <w:rPr>
          <w:rFonts w:eastAsia="Times New Roman"/>
          <w:szCs w:val="20"/>
        </w:rPr>
        <w:tab/>
      </w:r>
      <w:r w:rsidR="00AF35FB">
        <w:rPr>
          <w:rFonts w:eastAsia="Times New Roman"/>
          <w:szCs w:val="20"/>
        </w:rPr>
        <w:t>Lastly</w:t>
      </w:r>
      <w:r>
        <w:rPr>
          <w:rFonts w:eastAsia="Times New Roman"/>
          <w:szCs w:val="20"/>
        </w:rPr>
        <w:t>,</w:t>
      </w:r>
      <w:r w:rsidR="00AF35FB">
        <w:rPr>
          <w:rFonts w:eastAsia="Times New Roman"/>
          <w:szCs w:val="20"/>
        </w:rPr>
        <w:t xml:space="preserve"> the Authority concludes that</w:t>
      </w:r>
      <w:r>
        <w:rPr>
          <w:rFonts w:eastAsia="Times New Roman"/>
          <w:szCs w:val="20"/>
        </w:rPr>
        <w:t xml:space="preserve"> the Public Service Utilities shall include additional information </w:t>
      </w:r>
      <w:r w:rsidR="00AF35FB">
        <w:rPr>
          <w:rFonts w:eastAsia="Times New Roman"/>
          <w:szCs w:val="20"/>
        </w:rPr>
        <w:t>in future</w:t>
      </w:r>
      <w:r>
        <w:rPr>
          <w:rFonts w:eastAsia="Times New Roman"/>
          <w:szCs w:val="20"/>
        </w:rPr>
        <w:t xml:space="preserve"> compliance filing</w:t>
      </w:r>
      <w:r w:rsidR="00684D97">
        <w:rPr>
          <w:rFonts w:eastAsia="Times New Roman"/>
          <w:szCs w:val="20"/>
        </w:rPr>
        <w:t>s</w:t>
      </w:r>
      <w:r w:rsidR="00AF35FB">
        <w:rPr>
          <w:rFonts w:eastAsia="Times New Roman"/>
          <w:szCs w:val="20"/>
        </w:rPr>
        <w:t xml:space="preserve"> to further assist its continued monitoring and investigation of COVID-19 utility-related matters</w:t>
      </w:r>
      <w:r>
        <w:rPr>
          <w:rFonts w:eastAsia="Times New Roman"/>
          <w:szCs w:val="20"/>
        </w:rPr>
        <w:t>. First, all Public Service Utilities shall describe their process</w:t>
      </w:r>
      <w:r w:rsidR="00684D97">
        <w:rPr>
          <w:rFonts w:eastAsia="Times New Roman"/>
          <w:szCs w:val="20"/>
        </w:rPr>
        <w:t>es</w:t>
      </w:r>
      <w:r w:rsidR="001113AA">
        <w:rPr>
          <w:rFonts w:eastAsia="Times New Roman"/>
          <w:szCs w:val="20"/>
        </w:rPr>
        <w:t xml:space="preserve"> for</w:t>
      </w:r>
      <w:r>
        <w:rPr>
          <w:rFonts w:eastAsia="Times New Roman"/>
          <w:szCs w:val="20"/>
        </w:rPr>
        <w:t xml:space="preserve"> </w:t>
      </w:r>
      <w:r w:rsidR="00F44D89">
        <w:rPr>
          <w:rFonts w:eastAsia="Times New Roman"/>
          <w:szCs w:val="20"/>
        </w:rPr>
        <w:t>the termination of service for utilit</w:t>
      </w:r>
      <w:r w:rsidR="00AF35FB">
        <w:rPr>
          <w:rFonts w:eastAsia="Times New Roman"/>
          <w:szCs w:val="20"/>
        </w:rPr>
        <w:t>y</w:t>
      </w:r>
      <w:r w:rsidR="00F44D89">
        <w:rPr>
          <w:rFonts w:eastAsia="Times New Roman"/>
          <w:szCs w:val="20"/>
        </w:rPr>
        <w:t xml:space="preserve"> customers in arrears </w:t>
      </w:r>
      <w:r>
        <w:rPr>
          <w:rFonts w:eastAsia="Times New Roman"/>
          <w:szCs w:val="20"/>
        </w:rPr>
        <w:t>for both residential and non-residential customers</w:t>
      </w:r>
      <w:r>
        <w:rPr>
          <w:rStyle w:val="FootnoteReference"/>
          <w:rFonts w:eastAsia="Times New Roman"/>
          <w:szCs w:val="20"/>
        </w:rPr>
        <w:footnoteReference w:id="6"/>
      </w:r>
      <w:r>
        <w:rPr>
          <w:rFonts w:eastAsia="Times New Roman"/>
          <w:szCs w:val="20"/>
        </w:rPr>
        <w:t xml:space="preserve"> once the Shut-off Moratorium </w:t>
      </w:r>
      <w:r w:rsidR="00AF35FB">
        <w:rPr>
          <w:rFonts w:eastAsia="Times New Roman"/>
          <w:szCs w:val="20"/>
        </w:rPr>
        <w:t>has concluded</w:t>
      </w:r>
      <w:r>
        <w:rPr>
          <w:rFonts w:eastAsia="Times New Roman"/>
          <w:szCs w:val="20"/>
        </w:rPr>
        <w:t xml:space="preserve">. Second, </w:t>
      </w:r>
      <w:r w:rsidR="00684D97">
        <w:rPr>
          <w:rFonts w:eastAsia="Times New Roman"/>
          <w:szCs w:val="20"/>
        </w:rPr>
        <w:t>starting from</w:t>
      </w:r>
      <w:r w:rsidR="00CB409C">
        <w:rPr>
          <w:rFonts w:eastAsia="Times New Roman"/>
          <w:szCs w:val="20"/>
        </w:rPr>
        <w:t xml:space="preserve"> the </w:t>
      </w:r>
      <w:r w:rsidR="00CB409C" w:rsidRPr="00684D97">
        <w:rPr>
          <w:rFonts w:eastAsia="Times New Roman"/>
          <w:b/>
          <w:szCs w:val="20"/>
        </w:rPr>
        <w:t>September 15, 2020</w:t>
      </w:r>
      <w:r w:rsidR="00684D97">
        <w:rPr>
          <w:rFonts w:eastAsia="Times New Roman"/>
          <w:szCs w:val="20"/>
        </w:rPr>
        <w:t>,</w:t>
      </w:r>
      <w:r w:rsidR="00CB409C">
        <w:rPr>
          <w:rFonts w:eastAsia="Times New Roman"/>
          <w:szCs w:val="20"/>
        </w:rPr>
        <w:t xml:space="preserve"> compliance filing</w:t>
      </w:r>
      <w:r w:rsidR="00684D97">
        <w:rPr>
          <w:rFonts w:eastAsia="Times New Roman"/>
          <w:szCs w:val="20"/>
        </w:rPr>
        <w:t xml:space="preserve"> and going forward</w:t>
      </w:r>
      <w:r w:rsidR="001C2106">
        <w:rPr>
          <w:rFonts w:eastAsia="Times New Roman"/>
          <w:szCs w:val="20"/>
        </w:rPr>
        <w:t>,</w:t>
      </w:r>
      <w:r w:rsidR="00CB409C">
        <w:rPr>
          <w:rFonts w:eastAsia="Times New Roman"/>
          <w:szCs w:val="20"/>
        </w:rPr>
        <w:t xml:space="preserve"> the electric distribution companies (EDCs) shall provide </w:t>
      </w:r>
      <w:r w:rsidR="00CB409C">
        <w:t xml:space="preserve">the number of payment arrangements, both ongoing and failed, in which customers receive generation service from an electric supplier; the number of payment arrangements, both ongoing and failed </w:t>
      </w:r>
      <w:r w:rsidR="00CB409C">
        <w:lastRenderedPageBreak/>
        <w:t>in which a customer received generation service from a supplier at a supply rate greater than the standard service rate;</w:t>
      </w:r>
      <w:r w:rsidR="001C2106">
        <w:t xml:space="preserve"> and,</w:t>
      </w:r>
      <w:r w:rsidR="00CB409C">
        <w:t xml:space="preserve"> the amount of bad debt attributable to customers receiving generation service from suppliers at a rate greater than the standard service rate.  </w:t>
      </w:r>
    </w:p>
    <w:p w14:paraId="54668601" w14:textId="77777777" w:rsidR="006A7C05" w:rsidRDefault="006A7C05" w:rsidP="00A9787F">
      <w:pPr>
        <w:tabs>
          <w:tab w:val="left" w:pos="-90"/>
        </w:tabs>
        <w:jc w:val="both"/>
        <w:rPr>
          <w:rFonts w:eastAsia="Times New Roman"/>
          <w:szCs w:val="20"/>
        </w:rPr>
      </w:pPr>
    </w:p>
    <w:p w14:paraId="69B9EFF6" w14:textId="788537AD" w:rsidR="00170044" w:rsidRDefault="00503A5E" w:rsidP="000C3A34">
      <w:pPr>
        <w:tabs>
          <w:tab w:val="left" w:pos="-90"/>
        </w:tabs>
        <w:jc w:val="both"/>
        <w:rPr>
          <w:rFonts w:eastAsia="Times New Roman"/>
          <w:szCs w:val="20"/>
        </w:rPr>
      </w:pPr>
      <w:r>
        <w:rPr>
          <w:rFonts w:eastAsia="Times New Roman"/>
          <w:szCs w:val="20"/>
        </w:rPr>
        <w:tab/>
      </w:r>
      <w:r w:rsidR="0087115E">
        <w:rPr>
          <w:rFonts w:eastAsia="Times New Roman"/>
          <w:szCs w:val="20"/>
        </w:rPr>
        <w:t xml:space="preserve">At this juncture, the Authority deems it </w:t>
      </w:r>
      <w:r>
        <w:rPr>
          <w:rFonts w:eastAsia="Times New Roman"/>
          <w:szCs w:val="20"/>
        </w:rPr>
        <w:t xml:space="preserve">is </w:t>
      </w:r>
      <w:r w:rsidR="0087115E">
        <w:rPr>
          <w:rFonts w:eastAsia="Times New Roman"/>
          <w:szCs w:val="20"/>
        </w:rPr>
        <w:t>necessary and appropriate to issue the following additional order</w:t>
      </w:r>
      <w:r w:rsidR="00895CD2">
        <w:rPr>
          <w:rFonts w:eastAsia="Times New Roman"/>
          <w:szCs w:val="20"/>
        </w:rPr>
        <w:t>s</w:t>
      </w:r>
      <w:r w:rsidR="0087115E">
        <w:rPr>
          <w:rFonts w:eastAsia="Times New Roman"/>
          <w:szCs w:val="20"/>
        </w:rPr>
        <w:t>:</w:t>
      </w:r>
    </w:p>
    <w:p w14:paraId="0D5F69E5" w14:textId="206E3C67" w:rsidR="009B3BBF" w:rsidRDefault="009B3BBF" w:rsidP="00895CD2">
      <w:pPr>
        <w:tabs>
          <w:tab w:val="left" w:pos="-90"/>
        </w:tabs>
        <w:ind w:left="2355" w:hanging="1635"/>
        <w:jc w:val="both"/>
        <w:rPr>
          <w:rFonts w:eastAsia="Times New Roman"/>
          <w:szCs w:val="20"/>
        </w:rPr>
      </w:pPr>
    </w:p>
    <w:p w14:paraId="400FF676" w14:textId="326B4EFC" w:rsidR="009B3BBF" w:rsidRDefault="009B3BBF" w:rsidP="00895CD2">
      <w:pPr>
        <w:tabs>
          <w:tab w:val="left" w:pos="-90"/>
        </w:tabs>
        <w:ind w:left="2355" w:hanging="1635"/>
        <w:jc w:val="both"/>
        <w:rPr>
          <w:rFonts w:eastAsia="Times New Roman"/>
          <w:szCs w:val="20"/>
        </w:rPr>
      </w:pPr>
      <w:r>
        <w:rPr>
          <w:rFonts w:eastAsia="Times New Roman"/>
          <w:szCs w:val="20"/>
        </w:rPr>
        <w:t xml:space="preserve">Order No. </w:t>
      </w:r>
      <w:r w:rsidR="003362CA">
        <w:rPr>
          <w:rFonts w:eastAsia="Times New Roman"/>
          <w:szCs w:val="20"/>
        </w:rPr>
        <w:t>19</w:t>
      </w:r>
      <w:r>
        <w:rPr>
          <w:rFonts w:eastAsia="Times New Roman"/>
          <w:szCs w:val="20"/>
        </w:rPr>
        <w:tab/>
        <w:t>The Shut-off Moratorium</w:t>
      </w:r>
      <w:r w:rsidR="001C2106">
        <w:rPr>
          <w:rFonts w:eastAsia="Times New Roman"/>
          <w:szCs w:val="20"/>
        </w:rPr>
        <w:t>, except for reasons of public safety,</w:t>
      </w:r>
      <w:r>
        <w:rPr>
          <w:rFonts w:eastAsia="Times New Roman"/>
          <w:szCs w:val="20"/>
        </w:rPr>
        <w:t xml:space="preserve"> </w:t>
      </w:r>
      <w:r w:rsidR="001C2106">
        <w:rPr>
          <w:rFonts w:eastAsia="Times New Roman"/>
          <w:szCs w:val="20"/>
        </w:rPr>
        <w:t xml:space="preserve">for residential customers, initially </w:t>
      </w:r>
      <w:r w:rsidR="00F4489A">
        <w:rPr>
          <w:rFonts w:eastAsia="Times New Roman"/>
          <w:szCs w:val="20"/>
        </w:rPr>
        <w:t>established in Order No. 1,</w:t>
      </w:r>
      <w:r w:rsidR="00F4489A">
        <w:rPr>
          <w:rStyle w:val="FootnoteReference"/>
          <w:rFonts w:eastAsia="Times New Roman"/>
          <w:szCs w:val="20"/>
        </w:rPr>
        <w:footnoteReference w:id="7"/>
      </w:r>
      <w:r w:rsidR="00BB5DF6">
        <w:rPr>
          <w:rFonts w:eastAsia="Times New Roman"/>
          <w:szCs w:val="20"/>
        </w:rPr>
        <w:t xml:space="preserve"> </w:t>
      </w:r>
      <w:r w:rsidR="001C2106">
        <w:rPr>
          <w:rFonts w:eastAsia="Times New Roman"/>
          <w:szCs w:val="20"/>
        </w:rPr>
        <w:t>is hereby extended through</w:t>
      </w:r>
      <w:r w:rsidR="00BB5DF6" w:rsidRPr="00A9787F">
        <w:rPr>
          <w:rFonts w:eastAsia="Times New Roman"/>
          <w:szCs w:val="20"/>
        </w:rPr>
        <w:t xml:space="preserve"> </w:t>
      </w:r>
      <w:r w:rsidR="001B16F9" w:rsidRPr="00A9787F">
        <w:rPr>
          <w:rFonts w:eastAsia="Times New Roman"/>
          <w:szCs w:val="20"/>
        </w:rPr>
        <w:t xml:space="preserve">Friday, October 1, 2020, for </w:t>
      </w:r>
      <w:r w:rsidR="00CB409C">
        <w:rPr>
          <w:rFonts w:eastAsia="Times New Roman"/>
          <w:szCs w:val="20"/>
        </w:rPr>
        <w:t>non-</w:t>
      </w:r>
      <w:r w:rsidR="001B16F9" w:rsidRPr="00A9787F">
        <w:rPr>
          <w:rFonts w:eastAsia="Times New Roman"/>
          <w:szCs w:val="20"/>
        </w:rPr>
        <w:t>hardship customers</w:t>
      </w:r>
      <w:r w:rsidR="00F66228" w:rsidRPr="00CE6447">
        <w:rPr>
          <w:rFonts w:eastAsia="Times New Roman"/>
          <w:szCs w:val="20"/>
        </w:rPr>
        <w:t>.</w:t>
      </w:r>
      <w:r w:rsidR="00BB5DF6">
        <w:rPr>
          <w:rFonts w:eastAsia="Times New Roman"/>
          <w:szCs w:val="20"/>
        </w:rPr>
        <w:t xml:space="preserve"> </w:t>
      </w:r>
    </w:p>
    <w:p w14:paraId="3CA2F54A" w14:textId="52A8DD91" w:rsidR="008B7150" w:rsidRDefault="008B7150" w:rsidP="00895CD2">
      <w:pPr>
        <w:tabs>
          <w:tab w:val="left" w:pos="-90"/>
        </w:tabs>
        <w:ind w:left="2355" w:hanging="1635"/>
        <w:jc w:val="both"/>
        <w:rPr>
          <w:rFonts w:eastAsia="Times New Roman"/>
          <w:szCs w:val="20"/>
        </w:rPr>
      </w:pPr>
    </w:p>
    <w:p w14:paraId="3348DAAB" w14:textId="19394A1E" w:rsidR="008B7150" w:rsidRDefault="008B7150" w:rsidP="003A5C72">
      <w:pPr>
        <w:tabs>
          <w:tab w:val="left" w:pos="-90"/>
          <w:tab w:val="left" w:pos="2340"/>
        </w:tabs>
        <w:ind w:left="2340" w:hanging="1620"/>
        <w:jc w:val="both"/>
        <w:rPr>
          <w:rFonts w:eastAsia="Times New Roman"/>
          <w:szCs w:val="20"/>
        </w:rPr>
      </w:pPr>
      <w:r>
        <w:rPr>
          <w:rFonts w:eastAsia="Times New Roman"/>
          <w:szCs w:val="20"/>
        </w:rPr>
        <w:t>Order No. 20</w:t>
      </w:r>
      <w:r>
        <w:rPr>
          <w:rFonts w:eastAsia="Times New Roman"/>
          <w:szCs w:val="20"/>
        </w:rPr>
        <w:tab/>
        <w:t>Through October 31, 2020, no residential customer may have their service terminated without first receiving a targeted text and/or email providing hardship program eligibility information, COVID-19 Payment Program</w:t>
      </w:r>
      <w:r>
        <w:rPr>
          <w:rStyle w:val="FootnoteReference"/>
          <w:rFonts w:eastAsia="Times New Roman"/>
          <w:szCs w:val="20"/>
        </w:rPr>
        <w:footnoteReference w:id="8"/>
      </w:r>
      <w:r>
        <w:rPr>
          <w:rFonts w:eastAsia="Times New Roman"/>
          <w:szCs w:val="20"/>
        </w:rPr>
        <w:t xml:space="preserve"> information, or other assistance information, as applicable.  If the customer signs up for either a hardship program or the COVID-19 Payment Program before their </w:t>
      </w:r>
      <w:r w:rsidR="001C2106">
        <w:rPr>
          <w:rFonts w:eastAsia="Times New Roman"/>
          <w:szCs w:val="20"/>
        </w:rPr>
        <w:t xml:space="preserve">scheduled </w:t>
      </w:r>
      <w:r>
        <w:rPr>
          <w:rFonts w:eastAsia="Times New Roman"/>
          <w:szCs w:val="20"/>
        </w:rPr>
        <w:t xml:space="preserve">termination date, their service shall not be disconnected, consistent with the Interim Decision Clarification, dated May 15, 2020. </w:t>
      </w:r>
    </w:p>
    <w:p w14:paraId="7EF475B6" w14:textId="0354B245" w:rsidR="00CB409C" w:rsidRDefault="00CB409C" w:rsidP="00895CD2">
      <w:pPr>
        <w:tabs>
          <w:tab w:val="left" w:pos="-90"/>
        </w:tabs>
        <w:ind w:left="2355" w:hanging="1635"/>
        <w:jc w:val="both"/>
        <w:rPr>
          <w:rFonts w:eastAsia="Times New Roman"/>
          <w:szCs w:val="20"/>
        </w:rPr>
      </w:pPr>
    </w:p>
    <w:p w14:paraId="7749DA05" w14:textId="24125BBE" w:rsidR="003362CA" w:rsidRDefault="003362CA" w:rsidP="003A5C72">
      <w:pPr>
        <w:tabs>
          <w:tab w:val="left" w:pos="-90"/>
        </w:tabs>
        <w:ind w:left="2355" w:hanging="1635"/>
        <w:jc w:val="both"/>
        <w:rPr>
          <w:rFonts w:eastAsia="Times New Roman"/>
          <w:szCs w:val="20"/>
        </w:rPr>
      </w:pPr>
      <w:r>
        <w:rPr>
          <w:rFonts w:eastAsia="Times New Roman"/>
          <w:szCs w:val="20"/>
        </w:rPr>
        <w:t>Order No. 21</w:t>
      </w:r>
      <w:r>
        <w:rPr>
          <w:rFonts w:eastAsia="Times New Roman"/>
          <w:szCs w:val="20"/>
        </w:rPr>
        <w:tab/>
      </w:r>
      <w:r>
        <w:rPr>
          <w:color w:val="000000"/>
        </w:rPr>
        <w:t xml:space="preserve">The Public Services Utilities shall issue a press release on September 9, 2020 providing customers with an update on </w:t>
      </w:r>
      <w:r>
        <w:rPr>
          <w:rFonts w:eastAsia="Times New Roman"/>
          <w:szCs w:val="20"/>
        </w:rPr>
        <w:t>the Shut-off Moratorium, the COVID-19 Payment Program, and all other payment or energy assistance programs offered</w:t>
      </w:r>
      <w:r w:rsidR="001C2106">
        <w:rPr>
          <w:rFonts w:eastAsia="Times New Roman"/>
          <w:szCs w:val="20"/>
        </w:rPr>
        <w:t xml:space="preserve"> by the company</w:t>
      </w:r>
      <w:r>
        <w:rPr>
          <w:rFonts w:eastAsia="Times New Roman"/>
          <w:szCs w:val="20"/>
        </w:rPr>
        <w:t xml:space="preserve">.  Such press release shall indicate that it was ordered by the Public Utilities Regulatory Authority. </w:t>
      </w:r>
    </w:p>
    <w:p w14:paraId="4E6C1C49" w14:textId="77777777" w:rsidR="003362CA" w:rsidRDefault="003362CA" w:rsidP="003A5C72">
      <w:pPr>
        <w:tabs>
          <w:tab w:val="left" w:pos="-90"/>
        </w:tabs>
        <w:ind w:left="2355" w:hanging="1635"/>
        <w:jc w:val="both"/>
        <w:rPr>
          <w:rFonts w:eastAsia="Times New Roman"/>
          <w:szCs w:val="20"/>
        </w:rPr>
      </w:pPr>
    </w:p>
    <w:p w14:paraId="58923E62" w14:textId="51546B27" w:rsidR="003362CA" w:rsidRDefault="003362CA" w:rsidP="003A5C72">
      <w:pPr>
        <w:tabs>
          <w:tab w:val="left" w:pos="-90"/>
        </w:tabs>
        <w:ind w:left="2355" w:hanging="1635"/>
        <w:jc w:val="both"/>
        <w:rPr>
          <w:rFonts w:eastAsia="Times New Roman"/>
          <w:szCs w:val="20"/>
        </w:rPr>
      </w:pPr>
      <w:r>
        <w:rPr>
          <w:rFonts w:eastAsia="Times New Roman"/>
          <w:szCs w:val="20"/>
        </w:rPr>
        <w:t xml:space="preserve">Order No. 22 </w:t>
      </w:r>
      <w:r>
        <w:rPr>
          <w:rFonts w:eastAsia="Times New Roman"/>
          <w:szCs w:val="20"/>
        </w:rPr>
        <w:tab/>
        <w:t xml:space="preserve">The electric distribution companies shall post </w:t>
      </w:r>
      <w:r w:rsidR="001C2106">
        <w:rPr>
          <w:rFonts w:eastAsia="Times New Roman"/>
          <w:szCs w:val="20"/>
        </w:rPr>
        <w:t xml:space="preserve">applicable information to the </w:t>
      </w:r>
      <w:r>
        <w:rPr>
          <w:rFonts w:eastAsia="Times New Roman"/>
          <w:szCs w:val="20"/>
        </w:rPr>
        <w:t xml:space="preserve">Energize CT </w:t>
      </w:r>
      <w:r w:rsidR="001C2106">
        <w:rPr>
          <w:rFonts w:eastAsia="Times New Roman"/>
          <w:szCs w:val="20"/>
        </w:rPr>
        <w:t xml:space="preserve">website, </w:t>
      </w:r>
      <w:r>
        <w:rPr>
          <w:rFonts w:eastAsia="Times New Roman"/>
          <w:szCs w:val="20"/>
        </w:rPr>
        <w:t xml:space="preserve">and all Public Service Utilities must post on </w:t>
      </w:r>
      <w:r w:rsidR="001C2106">
        <w:rPr>
          <w:rFonts w:eastAsia="Times New Roman"/>
          <w:szCs w:val="20"/>
        </w:rPr>
        <w:t>their respective</w:t>
      </w:r>
      <w:r>
        <w:rPr>
          <w:rFonts w:eastAsia="Times New Roman"/>
          <w:szCs w:val="20"/>
        </w:rPr>
        <w:t xml:space="preserve"> social media sites and home pages</w:t>
      </w:r>
      <w:r w:rsidR="001C2106">
        <w:rPr>
          <w:rFonts w:eastAsia="Times New Roman"/>
          <w:szCs w:val="20"/>
        </w:rPr>
        <w:t>,</w:t>
      </w:r>
      <w:r>
        <w:rPr>
          <w:rFonts w:eastAsia="Times New Roman"/>
          <w:szCs w:val="20"/>
        </w:rPr>
        <w:t xml:space="preserve"> the summary of information regarding </w:t>
      </w:r>
      <w:r w:rsidRPr="003362CA">
        <w:rPr>
          <w:rFonts w:eastAsia="Times New Roman"/>
          <w:szCs w:val="20"/>
        </w:rPr>
        <w:t>the Shut-off Moratorium, the COVID-19 Payment Program, and all other payment or energy assistance programs</w:t>
      </w:r>
      <w:r w:rsidR="001C2106">
        <w:rPr>
          <w:rFonts w:eastAsia="Times New Roman"/>
          <w:szCs w:val="20"/>
        </w:rPr>
        <w:t>, at the following minimum frequencies,</w:t>
      </w:r>
      <w:r w:rsidRPr="003362CA">
        <w:rPr>
          <w:rFonts w:eastAsia="Times New Roman"/>
          <w:szCs w:val="20"/>
        </w:rPr>
        <w:t xml:space="preserve"> </w:t>
      </w:r>
      <w:r>
        <w:rPr>
          <w:rFonts w:eastAsia="Times New Roman"/>
          <w:szCs w:val="20"/>
        </w:rPr>
        <w:t>on</w:t>
      </w:r>
      <w:r w:rsidR="001C2106">
        <w:rPr>
          <w:rFonts w:eastAsia="Times New Roman"/>
          <w:szCs w:val="20"/>
        </w:rPr>
        <w:t xml:space="preserve">: </w:t>
      </w:r>
      <w:r>
        <w:rPr>
          <w:rFonts w:eastAsia="Times New Roman"/>
          <w:szCs w:val="20"/>
        </w:rPr>
        <w:t xml:space="preserve"> September 9, 2020, September 23, 2020, October 21, 2020, and any time there is an update regarding this information.</w:t>
      </w:r>
      <w:r w:rsidR="008B7150">
        <w:rPr>
          <w:rFonts w:eastAsia="Times New Roman"/>
          <w:szCs w:val="20"/>
        </w:rPr>
        <w:t xml:space="preserve">  </w:t>
      </w:r>
      <w:r>
        <w:rPr>
          <w:rFonts w:eastAsia="Times New Roman"/>
          <w:szCs w:val="20"/>
        </w:rPr>
        <w:t xml:space="preserve"> </w:t>
      </w:r>
    </w:p>
    <w:p w14:paraId="5088A2A7" w14:textId="77777777" w:rsidR="003362CA" w:rsidRDefault="003362CA" w:rsidP="003A5C72">
      <w:pPr>
        <w:tabs>
          <w:tab w:val="left" w:pos="-90"/>
        </w:tabs>
        <w:ind w:left="2355" w:hanging="1635"/>
        <w:jc w:val="both"/>
        <w:rPr>
          <w:rFonts w:eastAsia="Times New Roman"/>
          <w:szCs w:val="20"/>
        </w:rPr>
      </w:pPr>
    </w:p>
    <w:p w14:paraId="0F7EA5DB" w14:textId="6F8BDB96" w:rsidR="003362CA" w:rsidRDefault="003362CA" w:rsidP="003A5C72">
      <w:pPr>
        <w:tabs>
          <w:tab w:val="left" w:pos="-90"/>
        </w:tabs>
        <w:ind w:left="2355" w:hanging="1635"/>
        <w:jc w:val="both"/>
        <w:rPr>
          <w:rFonts w:eastAsia="Times New Roman"/>
          <w:szCs w:val="20"/>
        </w:rPr>
      </w:pPr>
      <w:r>
        <w:rPr>
          <w:rFonts w:eastAsia="Times New Roman"/>
          <w:szCs w:val="20"/>
        </w:rPr>
        <w:t>Order No. 23</w:t>
      </w:r>
      <w:r>
        <w:rPr>
          <w:rFonts w:eastAsia="Times New Roman"/>
          <w:szCs w:val="20"/>
        </w:rPr>
        <w:tab/>
        <w:t xml:space="preserve">The Public Service Utilities must send emails and/or texts to their customers summarizing </w:t>
      </w:r>
      <w:r w:rsidRPr="003362CA">
        <w:rPr>
          <w:rFonts w:eastAsia="Times New Roman"/>
          <w:szCs w:val="20"/>
        </w:rPr>
        <w:t xml:space="preserve">the information regarding the Shut-off Moratorium, the COVID-19 Payment Program, and all other </w:t>
      </w:r>
      <w:r w:rsidRPr="003362CA">
        <w:rPr>
          <w:rFonts w:eastAsia="Times New Roman"/>
          <w:szCs w:val="20"/>
        </w:rPr>
        <w:lastRenderedPageBreak/>
        <w:t xml:space="preserve">payment or energy assistance programs </w:t>
      </w:r>
      <w:r>
        <w:rPr>
          <w:rFonts w:eastAsia="Times New Roman"/>
          <w:szCs w:val="20"/>
        </w:rPr>
        <w:t>on September 9, 2020, September 23, 2020, October 21, 2020, and any time there is an update regarding this information.</w:t>
      </w:r>
      <w:r w:rsidR="008B7150">
        <w:rPr>
          <w:rFonts w:eastAsia="Times New Roman"/>
          <w:szCs w:val="20"/>
        </w:rPr>
        <w:t xml:space="preserve">  </w:t>
      </w:r>
    </w:p>
    <w:p w14:paraId="4DE97B51" w14:textId="681FC23A" w:rsidR="003362CA" w:rsidRDefault="003362CA" w:rsidP="003362CA">
      <w:pPr>
        <w:tabs>
          <w:tab w:val="left" w:pos="-90"/>
        </w:tabs>
        <w:jc w:val="both"/>
        <w:rPr>
          <w:rFonts w:eastAsia="Times New Roman"/>
          <w:szCs w:val="20"/>
        </w:rPr>
      </w:pPr>
    </w:p>
    <w:p w14:paraId="6347AAF3" w14:textId="724B11BA" w:rsidR="00CB409C" w:rsidRDefault="00CB409C" w:rsidP="00895CD2">
      <w:pPr>
        <w:tabs>
          <w:tab w:val="left" w:pos="-90"/>
        </w:tabs>
        <w:ind w:left="2355" w:hanging="1635"/>
        <w:jc w:val="both"/>
        <w:rPr>
          <w:rFonts w:eastAsia="Times New Roman"/>
          <w:szCs w:val="20"/>
        </w:rPr>
      </w:pPr>
      <w:r>
        <w:rPr>
          <w:rFonts w:eastAsia="Times New Roman"/>
          <w:szCs w:val="20"/>
        </w:rPr>
        <w:t>Order No. 2</w:t>
      </w:r>
      <w:r w:rsidR="003362CA">
        <w:rPr>
          <w:rFonts w:eastAsia="Times New Roman"/>
          <w:szCs w:val="20"/>
        </w:rPr>
        <w:t>4</w:t>
      </w:r>
      <w:r>
        <w:rPr>
          <w:rFonts w:eastAsia="Times New Roman"/>
          <w:szCs w:val="20"/>
        </w:rPr>
        <w:tab/>
        <w:t>EOE shall provide a</w:t>
      </w:r>
      <w:r w:rsidR="001C2106">
        <w:rPr>
          <w:rFonts w:eastAsia="Times New Roman"/>
          <w:szCs w:val="20"/>
        </w:rPr>
        <w:t>n</w:t>
      </w:r>
      <w:r>
        <w:rPr>
          <w:rFonts w:eastAsia="Times New Roman"/>
          <w:szCs w:val="20"/>
        </w:rPr>
        <w:t xml:space="preserve"> update </w:t>
      </w:r>
      <w:r w:rsidR="001C2106">
        <w:rPr>
          <w:rFonts w:eastAsia="Times New Roman"/>
          <w:szCs w:val="20"/>
        </w:rPr>
        <w:t xml:space="preserve">regarding its investigation </w:t>
      </w:r>
      <w:r>
        <w:rPr>
          <w:rFonts w:eastAsia="Times New Roman"/>
          <w:szCs w:val="20"/>
        </w:rPr>
        <w:t xml:space="preserve">to the Authority </w:t>
      </w:r>
      <w:r w:rsidR="001C2106">
        <w:rPr>
          <w:rFonts w:eastAsia="Times New Roman"/>
          <w:szCs w:val="20"/>
        </w:rPr>
        <w:t>no later than</w:t>
      </w:r>
      <w:r>
        <w:rPr>
          <w:rFonts w:eastAsia="Times New Roman"/>
          <w:szCs w:val="20"/>
        </w:rPr>
        <w:t xml:space="preserve"> October 30, 2020</w:t>
      </w:r>
      <w:r w:rsidR="001C2106">
        <w:rPr>
          <w:rFonts w:eastAsia="Times New Roman"/>
          <w:szCs w:val="20"/>
        </w:rPr>
        <w:t>,</w:t>
      </w:r>
      <w:r w:rsidR="008B7150">
        <w:rPr>
          <w:rFonts w:eastAsia="Times New Roman"/>
          <w:szCs w:val="20"/>
        </w:rPr>
        <w:t xml:space="preserve"> regarding the status of their investigation into the Public Services Utilities</w:t>
      </w:r>
      <w:r w:rsidR="001C2106">
        <w:rPr>
          <w:rFonts w:eastAsia="Times New Roman"/>
          <w:szCs w:val="20"/>
        </w:rPr>
        <w:t>’</w:t>
      </w:r>
      <w:r w:rsidR="008B7150">
        <w:rPr>
          <w:rFonts w:eastAsia="Times New Roman"/>
          <w:szCs w:val="20"/>
        </w:rPr>
        <w:t xml:space="preserve"> compliance with the orders in the above-captioned docket</w:t>
      </w:r>
      <w:r>
        <w:rPr>
          <w:rFonts w:eastAsia="Times New Roman"/>
          <w:szCs w:val="20"/>
        </w:rPr>
        <w:t xml:space="preserve">. </w:t>
      </w:r>
    </w:p>
    <w:p w14:paraId="50F84B82" w14:textId="60758FDE" w:rsidR="00CB409C" w:rsidRDefault="00CB409C" w:rsidP="00895CD2">
      <w:pPr>
        <w:tabs>
          <w:tab w:val="left" w:pos="-90"/>
        </w:tabs>
        <w:ind w:left="2355" w:hanging="1635"/>
        <w:jc w:val="both"/>
        <w:rPr>
          <w:rFonts w:eastAsia="Times New Roman"/>
          <w:szCs w:val="20"/>
        </w:rPr>
      </w:pPr>
    </w:p>
    <w:p w14:paraId="36846725" w14:textId="36A2263C" w:rsidR="00CB409C" w:rsidRDefault="00CB409C" w:rsidP="00CB409C">
      <w:pPr>
        <w:tabs>
          <w:tab w:val="left" w:pos="-90"/>
        </w:tabs>
        <w:ind w:left="2355" w:hanging="1635"/>
        <w:jc w:val="both"/>
        <w:rPr>
          <w:color w:val="000000"/>
        </w:rPr>
      </w:pPr>
      <w:r>
        <w:rPr>
          <w:rFonts w:eastAsia="Times New Roman"/>
          <w:szCs w:val="20"/>
        </w:rPr>
        <w:t>Order No. 2</w:t>
      </w:r>
      <w:r w:rsidR="003362CA">
        <w:rPr>
          <w:rFonts w:eastAsia="Times New Roman"/>
          <w:szCs w:val="20"/>
        </w:rPr>
        <w:t>5</w:t>
      </w:r>
      <w:r>
        <w:rPr>
          <w:rFonts w:eastAsia="Times New Roman"/>
          <w:szCs w:val="20"/>
        </w:rPr>
        <w:tab/>
      </w:r>
      <w:r>
        <w:rPr>
          <w:color w:val="000000"/>
        </w:rPr>
        <w:t xml:space="preserve">The Public Services Utilities shall submit in </w:t>
      </w:r>
      <w:r w:rsidR="00F44D89">
        <w:rPr>
          <w:color w:val="000000"/>
        </w:rPr>
        <w:t>the above-captioned proceeding</w:t>
      </w:r>
      <w:r>
        <w:rPr>
          <w:color w:val="000000"/>
        </w:rPr>
        <w:t xml:space="preserve"> any </w:t>
      </w:r>
      <w:r w:rsidR="001C2106">
        <w:rPr>
          <w:color w:val="000000"/>
        </w:rPr>
        <w:t>customer call recordings</w:t>
      </w:r>
      <w:r>
        <w:rPr>
          <w:color w:val="000000"/>
        </w:rPr>
        <w:t xml:space="preserve"> requested by EOE under protective order within </w:t>
      </w:r>
      <w:r>
        <w:rPr>
          <w:b/>
          <w:i/>
          <w:color w:val="000000"/>
          <w:u w:val="single"/>
        </w:rPr>
        <w:t>one week</w:t>
      </w:r>
      <w:r>
        <w:rPr>
          <w:color w:val="000000"/>
        </w:rPr>
        <w:t xml:space="preserve"> after the request is made.</w:t>
      </w:r>
    </w:p>
    <w:p w14:paraId="3C8899C7" w14:textId="5F804BB2" w:rsidR="00CB409C" w:rsidRDefault="00CB409C" w:rsidP="00CB409C">
      <w:pPr>
        <w:tabs>
          <w:tab w:val="left" w:pos="-90"/>
        </w:tabs>
        <w:ind w:left="2355" w:hanging="1635"/>
        <w:jc w:val="both"/>
        <w:rPr>
          <w:rFonts w:eastAsia="Times New Roman"/>
          <w:szCs w:val="20"/>
        </w:rPr>
      </w:pPr>
    </w:p>
    <w:p w14:paraId="57E4D4CA" w14:textId="05A1A87D" w:rsidR="00CB409C" w:rsidRDefault="00CB409C" w:rsidP="00CB409C">
      <w:pPr>
        <w:tabs>
          <w:tab w:val="left" w:pos="-90"/>
        </w:tabs>
        <w:ind w:left="2355" w:hanging="1635"/>
        <w:jc w:val="both"/>
        <w:rPr>
          <w:rFonts w:eastAsia="Times New Roman"/>
          <w:szCs w:val="20"/>
        </w:rPr>
      </w:pPr>
      <w:r>
        <w:rPr>
          <w:rFonts w:eastAsia="Times New Roman"/>
          <w:szCs w:val="20"/>
        </w:rPr>
        <w:t>Order No. 2</w:t>
      </w:r>
      <w:r w:rsidR="008B7150">
        <w:rPr>
          <w:rFonts w:eastAsia="Times New Roman"/>
          <w:szCs w:val="20"/>
        </w:rPr>
        <w:t>6</w:t>
      </w:r>
      <w:r>
        <w:rPr>
          <w:rFonts w:eastAsia="Times New Roman"/>
          <w:szCs w:val="20"/>
        </w:rPr>
        <w:tab/>
        <w:t>All Public Service Utilities shall describe their process for both residential and non-residential customers once the Shut-off Moratorium is terminated</w:t>
      </w:r>
      <w:r w:rsidR="008B7150">
        <w:rPr>
          <w:rFonts w:eastAsia="Times New Roman"/>
          <w:szCs w:val="20"/>
        </w:rPr>
        <w:t xml:space="preserve"> in </w:t>
      </w:r>
      <w:r w:rsidR="008B7150" w:rsidRPr="008B7150">
        <w:rPr>
          <w:rFonts w:eastAsia="Times New Roman"/>
          <w:szCs w:val="20"/>
        </w:rPr>
        <w:t>their upcoming compliance filings</w:t>
      </w:r>
      <w:r w:rsidR="008B7150">
        <w:rPr>
          <w:rFonts w:eastAsia="Times New Roman"/>
          <w:szCs w:val="20"/>
        </w:rPr>
        <w:t xml:space="preserve"> due September 15, 2020</w:t>
      </w:r>
      <w:r>
        <w:rPr>
          <w:rFonts w:eastAsia="Times New Roman"/>
          <w:szCs w:val="20"/>
        </w:rPr>
        <w:t xml:space="preserve">. </w:t>
      </w:r>
    </w:p>
    <w:p w14:paraId="45843FEC" w14:textId="7D950DAF" w:rsidR="00CB409C" w:rsidRDefault="00CB409C" w:rsidP="00CB409C">
      <w:pPr>
        <w:tabs>
          <w:tab w:val="left" w:pos="-90"/>
        </w:tabs>
        <w:ind w:left="2355" w:hanging="1635"/>
        <w:jc w:val="both"/>
        <w:rPr>
          <w:rFonts w:eastAsia="Times New Roman"/>
          <w:szCs w:val="20"/>
        </w:rPr>
      </w:pPr>
    </w:p>
    <w:p w14:paraId="2FDFC82E" w14:textId="3B19A8B3" w:rsidR="00CB409C" w:rsidRDefault="00CB409C" w:rsidP="00CB409C">
      <w:pPr>
        <w:tabs>
          <w:tab w:val="left" w:pos="-90"/>
        </w:tabs>
        <w:ind w:left="2355" w:hanging="1635"/>
        <w:jc w:val="both"/>
        <w:rPr>
          <w:rFonts w:eastAsia="Times New Roman"/>
          <w:szCs w:val="20"/>
        </w:rPr>
      </w:pPr>
      <w:r>
        <w:rPr>
          <w:rFonts w:eastAsia="Times New Roman"/>
          <w:szCs w:val="20"/>
        </w:rPr>
        <w:t>Order No. 2</w:t>
      </w:r>
      <w:r w:rsidR="008B7150">
        <w:rPr>
          <w:rFonts w:eastAsia="Times New Roman"/>
          <w:szCs w:val="20"/>
        </w:rPr>
        <w:t>7</w:t>
      </w:r>
      <w:r>
        <w:rPr>
          <w:rFonts w:eastAsia="Times New Roman"/>
          <w:szCs w:val="20"/>
        </w:rPr>
        <w:tab/>
        <w:t xml:space="preserve">Starting </w:t>
      </w:r>
      <w:r w:rsidR="008B7150">
        <w:rPr>
          <w:rFonts w:eastAsia="Times New Roman"/>
          <w:szCs w:val="20"/>
        </w:rPr>
        <w:t>with their</w:t>
      </w:r>
      <w:r>
        <w:rPr>
          <w:rFonts w:eastAsia="Times New Roman"/>
          <w:szCs w:val="20"/>
        </w:rPr>
        <w:t xml:space="preserve"> September 15, 2020 compliance filing</w:t>
      </w:r>
      <w:r w:rsidR="008B7150">
        <w:rPr>
          <w:rFonts w:eastAsia="Times New Roman"/>
          <w:szCs w:val="20"/>
        </w:rPr>
        <w:t>, and continuing until such compliance filings are discontinued,</w:t>
      </w:r>
      <w:r>
        <w:rPr>
          <w:rFonts w:eastAsia="Times New Roman"/>
          <w:szCs w:val="20"/>
        </w:rPr>
        <w:t xml:space="preserve"> the EDCs shall submit </w:t>
      </w:r>
      <w:r w:rsidR="00B50B2D">
        <w:rPr>
          <w:rFonts w:eastAsia="Times New Roman"/>
          <w:szCs w:val="20"/>
        </w:rPr>
        <w:t>the below</w:t>
      </w:r>
      <w:r>
        <w:rPr>
          <w:rFonts w:eastAsia="Times New Roman"/>
          <w:szCs w:val="20"/>
        </w:rPr>
        <w:t xml:space="preserve"> amended Order No. 6: </w:t>
      </w:r>
    </w:p>
    <w:p w14:paraId="607CF354" w14:textId="77777777" w:rsidR="00CB409C" w:rsidRDefault="00CB409C" w:rsidP="00CB409C">
      <w:pPr>
        <w:tabs>
          <w:tab w:val="left" w:pos="-90"/>
        </w:tabs>
        <w:ind w:left="2355" w:hanging="1635"/>
        <w:jc w:val="both"/>
        <w:rPr>
          <w:rFonts w:eastAsia="Times New Roman"/>
          <w:szCs w:val="20"/>
        </w:rPr>
      </w:pPr>
    </w:p>
    <w:p w14:paraId="1D527896" w14:textId="1D927A3B" w:rsidR="00CB409C" w:rsidRPr="00CB409C" w:rsidRDefault="00CB409C" w:rsidP="00B50B2D">
      <w:pPr>
        <w:numPr>
          <w:ilvl w:val="1"/>
          <w:numId w:val="5"/>
        </w:numPr>
        <w:tabs>
          <w:tab w:val="left" w:pos="-90"/>
        </w:tabs>
        <w:ind w:left="2880"/>
        <w:jc w:val="both"/>
        <w:rPr>
          <w:rFonts w:eastAsia="Times New Roman"/>
          <w:szCs w:val="20"/>
        </w:rPr>
      </w:pPr>
      <w:r w:rsidRPr="00CB409C">
        <w:rPr>
          <w:rFonts w:eastAsia="Times New Roman"/>
          <w:szCs w:val="20"/>
        </w:rPr>
        <w:t>The</w:t>
      </w:r>
      <w:r w:rsidR="00B50B2D">
        <w:rPr>
          <w:rFonts w:eastAsia="Times New Roman"/>
          <w:szCs w:val="20"/>
        </w:rPr>
        <w:t xml:space="preserve"> </w:t>
      </w:r>
      <w:r w:rsidRPr="00CB409C">
        <w:rPr>
          <w:rFonts w:eastAsia="Times New Roman"/>
          <w:szCs w:val="20"/>
        </w:rPr>
        <w:t xml:space="preserve">aggregate number of service terminations, disconnections and reconnections for the preceding month, broken down by customer, hardship status, electric supplier, customer’s current generation service rate, and zip code as applicable.  Reporting regarding reconnections should be further broken down to reflect (a) the number of reconnections without any financial security deposits and costs or losses associated; and (b) the number of reconnections without balance reduction payments and costs or losses associated.  For the purpose of these reports, service termination is defined as an interruption or curtailment of service consistent with interruption pursuant to applicable statutes, regulations and approved tariffs. Disconnections shall mean the voluntary discontinuance of service to an individual utility customer.  </w:t>
      </w:r>
    </w:p>
    <w:p w14:paraId="7FE8DF84" w14:textId="77777777" w:rsidR="00CB409C" w:rsidRPr="00CB409C" w:rsidRDefault="00CB409C" w:rsidP="00B50B2D">
      <w:pPr>
        <w:tabs>
          <w:tab w:val="left" w:pos="-90"/>
        </w:tabs>
        <w:ind w:left="2880" w:hanging="360"/>
        <w:jc w:val="both"/>
        <w:rPr>
          <w:rFonts w:eastAsia="Times New Roman"/>
          <w:szCs w:val="20"/>
        </w:rPr>
      </w:pPr>
    </w:p>
    <w:p w14:paraId="23D3C0AB" w14:textId="77777777" w:rsidR="00CB409C" w:rsidRPr="00CB409C" w:rsidRDefault="00CB409C" w:rsidP="00B50B2D">
      <w:pPr>
        <w:numPr>
          <w:ilvl w:val="1"/>
          <w:numId w:val="5"/>
        </w:numPr>
        <w:tabs>
          <w:tab w:val="left" w:pos="-90"/>
        </w:tabs>
        <w:ind w:left="2880"/>
        <w:jc w:val="both"/>
        <w:rPr>
          <w:rFonts w:eastAsia="Times New Roman"/>
          <w:szCs w:val="20"/>
        </w:rPr>
      </w:pPr>
      <w:r w:rsidRPr="00CB409C">
        <w:rPr>
          <w:rFonts w:eastAsia="Times New Roman"/>
          <w:szCs w:val="20"/>
        </w:rPr>
        <w:t xml:space="preserve">Information regarding payment arrangements made pursuant to the COVID-19 Payment Program as defined herein, as well as for payment arrangements made pursuant to a different voluntary or statutorily-required program.  The information for each category of payment arrangements should be recorded separately and should reflect: (a) the number of payment arrangements in effect currently; (b) the number of payment arrangements currently in effect in which the customer </w:t>
      </w:r>
      <w:r w:rsidRPr="00CB409C">
        <w:rPr>
          <w:rFonts w:eastAsia="Times New Roman"/>
          <w:szCs w:val="20"/>
        </w:rPr>
        <w:lastRenderedPageBreak/>
        <w:t>receives service from an electric supplier, and further broken down by the number of customers paying greater than the standard service rate and the mean, median, high, and low rates being paid by those customers; (c) the number of failed payment arrangements; (d) the number of failed payment arrangements in which the customer receives service from an electric supplier and pays/paid greater than the standard service rate, and the mean and median rates paid by those customers; (e) average repayment terms for plans in effect; (f) average repayment amount for plans in effect; (g) repayment terms for failed payment arrangements; (h) repayment amount for failed payment arrangements; (</w:t>
      </w:r>
      <w:proofErr w:type="spellStart"/>
      <w:r w:rsidRPr="00CB409C">
        <w:rPr>
          <w:rFonts w:eastAsia="Times New Roman"/>
          <w:szCs w:val="20"/>
        </w:rPr>
        <w:t>i</w:t>
      </w:r>
      <w:proofErr w:type="spellEnd"/>
      <w:r w:rsidRPr="00CB409C">
        <w:rPr>
          <w:rFonts w:eastAsia="Times New Roman"/>
          <w:szCs w:val="20"/>
        </w:rPr>
        <w:t>) the total amount of receivables for payment arrangements currently in effect; and (j) the amount left unpaid in the aggregate and as an average amount per customer, by customer class.</w:t>
      </w:r>
    </w:p>
    <w:p w14:paraId="0D932163" w14:textId="77777777" w:rsidR="00CB409C" w:rsidRPr="00CB409C" w:rsidRDefault="00CB409C" w:rsidP="00B50B2D">
      <w:pPr>
        <w:tabs>
          <w:tab w:val="left" w:pos="-90"/>
        </w:tabs>
        <w:ind w:left="2880" w:hanging="360"/>
        <w:jc w:val="both"/>
        <w:rPr>
          <w:rFonts w:eastAsia="Times New Roman"/>
          <w:szCs w:val="20"/>
        </w:rPr>
      </w:pPr>
    </w:p>
    <w:p w14:paraId="60748E75" w14:textId="77777777" w:rsidR="00CB409C" w:rsidRPr="00CB409C" w:rsidRDefault="00CB409C" w:rsidP="00B50B2D">
      <w:pPr>
        <w:numPr>
          <w:ilvl w:val="1"/>
          <w:numId w:val="5"/>
        </w:numPr>
        <w:tabs>
          <w:tab w:val="left" w:pos="-90"/>
        </w:tabs>
        <w:ind w:left="2880"/>
        <w:jc w:val="both"/>
        <w:rPr>
          <w:rFonts w:eastAsia="Times New Roman"/>
          <w:szCs w:val="20"/>
        </w:rPr>
      </w:pPr>
      <w:r w:rsidRPr="00CB409C">
        <w:rPr>
          <w:rFonts w:eastAsia="Times New Roman"/>
          <w:szCs w:val="20"/>
        </w:rPr>
        <w:t xml:space="preserve">Information regarding bad debt costs, including the expenses included in base rates, actual bad debts expense included in base rates, and incremental bad debts expense calculation; and working capital.  Separately indicate the amount of bad debt attributable to customers receiving generation supply from an electric supplier at a rate greater than standard service. </w:t>
      </w:r>
    </w:p>
    <w:p w14:paraId="3FF04E46" w14:textId="77777777" w:rsidR="001B16F9" w:rsidRDefault="001B16F9" w:rsidP="000C3A34">
      <w:pPr>
        <w:tabs>
          <w:tab w:val="left" w:pos="-90"/>
        </w:tabs>
        <w:jc w:val="both"/>
        <w:rPr>
          <w:rFonts w:eastAsia="Times New Roman"/>
          <w:szCs w:val="20"/>
        </w:rPr>
      </w:pPr>
    </w:p>
    <w:p w14:paraId="1CC2A644" w14:textId="55A502CD" w:rsidR="00170044" w:rsidRDefault="00713F2B" w:rsidP="00503A5E">
      <w:pPr>
        <w:tabs>
          <w:tab w:val="left" w:pos="-90"/>
        </w:tabs>
        <w:jc w:val="both"/>
        <w:rPr>
          <w:rFonts w:eastAsia="Times New Roman"/>
          <w:szCs w:val="20"/>
        </w:rPr>
      </w:pPr>
      <w:r>
        <w:rPr>
          <w:rFonts w:eastAsia="Times New Roman"/>
          <w:szCs w:val="20"/>
        </w:rPr>
        <w:tab/>
        <w:t>The Authority will continue to monitor</w:t>
      </w:r>
      <w:r w:rsidR="0039744C">
        <w:rPr>
          <w:rFonts w:eastAsia="Times New Roman"/>
          <w:szCs w:val="20"/>
        </w:rPr>
        <w:t xml:space="preserve"> how COVID-19 </w:t>
      </w:r>
      <w:r w:rsidR="009C66E1">
        <w:rPr>
          <w:rFonts w:eastAsia="Times New Roman"/>
          <w:szCs w:val="20"/>
        </w:rPr>
        <w:t xml:space="preserve">affects </w:t>
      </w:r>
      <w:r w:rsidR="00B834DD">
        <w:rPr>
          <w:rFonts w:eastAsia="Times New Roman"/>
          <w:szCs w:val="20"/>
        </w:rPr>
        <w:t>Connecticut</w:t>
      </w:r>
      <w:r w:rsidR="0039744C">
        <w:rPr>
          <w:rFonts w:eastAsia="Times New Roman"/>
          <w:szCs w:val="20"/>
        </w:rPr>
        <w:t xml:space="preserve"> and</w:t>
      </w:r>
      <w:r w:rsidR="00503A5E">
        <w:rPr>
          <w:rFonts w:eastAsia="Times New Roman"/>
          <w:szCs w:val="20"/>
        </w:rPr>
        <w:t xml:space="preserve"> </w:t>
      </w:r>
      <w:r w:rsidR="009C66E1">
        <w:rPr>
          <w:rFonts w:eastAsia="Times New Roman"/>
          <w:szCs w:val="20"/>
        </w:rPr>
        <w:t xml:space="preserve">will </w:t>
      </w:r>
      <w:r w:rsidR="00503A5E">
        <w:rPr>
          <w:rFonts w:eastAsia="Times New Roman"/>
          <w:szCs w:val="20"/>
        </w:rPr>
        <w:t xml:space="preserve">take any </w:t>
      </w:r>
      <w:r w:rsidR="009C66E1">
        <w:rPr>
          <w:rFonts w:eastAsia="Times New Roman"/>
          <w:szCs w:val="20"/>
        </w:rPr>
        <w:t xml:space="preserve">further </w:t>
      </w:r>
      <w:r w:rsidR="00503A5E">
        <w:rPr>
          <w:rFonts w:eastAsia="Times New Roman"/>
          <w:szCs w:val="20"/>
        </w:rPr>
        <w:t>steps</w:t>
      </w:r>
      <w:r w:rsidR="009C66E1">
        <w:rPr>
          <w:rFonts w:eastAsia="Times New Roman"/>
          <w:szCs w:val="20"/>
        </w:rPr>
        <w:t>, as necessary</w:t>
      </w:r>
      <w:r w:rsidR="00AF35FB">
        <w:rPr>
          <w:rFonts w:eastAsia="Times New Roman"/>
          <w:szCs w:val="20"/>
        </w:rPr>
        <w:t>, through additional rulings and decisions</w:t>
      </w:r>
      <w:r w:rsidR="00503A5E">
        <w:rPr>
          <w:rFonts w:eastAsia="Times New Roman"/>
          <w:szCs w:val="20"/>
        </w:rPr>
        <w:t>.</w:t>
      </w:r>
    </w:p>
    <w:p w14:paraId="0294EBB6" w14:textId="77777777" w:rsidR="00F66228" w:rsidRPr="00503A5E" w:rsidRDefault="00F66228" w:rsidP="00503A5E">
      <w:pPr>
        <w:tabs>
          <w:tab w:val="left" w:pos="-90"/>
        </w:tabs>
        <w:jc w:val="both"/>
        <w:rPr>
          <w:rFonts w:eastAsia="Times New Roman"/>
          <w:szCs w:val="20"/>
        </w:rPr>
      </w:pPr>
    </w:p>
    <w:p w14:paraId="11A6EB13" w14:textId="77777777" w:rsidR="00446383" w:rsidRDefault="00446383" w:rsidP="00893452">
      <w:pPr>
        <w:tabs>
          <w:tab w:val="left" w:pos="3510"/>
        </w:tabs>
        <w:rPr>
          <w:color w:val="000000"/>
        </w:rPr>
      </w:pPr>
      <w:r>
        <w:rPr>
          <w:color w:val="000000"/>
        </w:rPr>
        <w:tab/>
        <w:t>Sincerely,</w:t>
      </w:r>
    </w:p>
    <w:p w14:paraId="4B94E89B" w14:textId="77777777" w:rsidR="00893452" w:rsidRDefault="00893452" w:rsidP="00893452">
      <w:pPr>
        <w:tabs>
          <w:tab w:val="left" w:pos="3510"/>
        </w:tabs>
        <w:rPr>
          <w:color w:val="000000"/>
        </w:rPr>
      </w:pPr>
    </w:p>
    <w:p w14:paraId="2AAC5EB2" w14:textId="77777777" w:rsidR="00446383" w:rsidRDefault="00446383" w:rsidP="00446383">
      <w:pPr>
        <w:tabs>
          <w:tab w:val="left" w:pos="3510"/>
        </w:tabs>
        <w:rPr>
          <w:color w:val="000000"/>
          <w:szCs w:val="24"/>
        </w:rPr>
      </w:pPr>
      <w:r>
        <w:rPr>
          <w:b/>
          <w:color w:val="000000"/>
          <w:sz w:val="18"/>
          <w:szCs w:val="18"/>
        </w:rPr>
        <w:tab/>
      </w:r>
      <w:r>
        <w:rPr>
          <w:color w:val="000000"/>
          <w:szCs w:val="24"/>
        </w:rPr>
        <w:t>PUBLIC UTILITIES REGULATORY AUTHORITY</w:t>
      </w:r>
    </w:p>
    <w:p w14:paraId="31B9AB15" w14:textId="77777777" w:rsidR="00893452" w:rsidRDefault="00BF153A" w:rsidP="00446383">
      <w:pPr>
        <w:tabs>
          <w:tab w:val="left" w:pos="3510"/>
        </w:tabs>
        <w:rPr>
          <w:color w:val="000000"/>
          <w:szCs w:val="20"/>
        </w:rPr>
      </w:pPr>
      <w:r>
        <w:rPr>
          <w:color w:val="000000"/>
          <w:szCs w:val="20"/>
        </w:rPr>
        <w:tab/>
      </w:r>
      <w:r>
        <w:rPr>
          <w:color w:val="000000"/>
          <w:szCs w:val="20"/>
        </w:rPr>
        <w:tab/>
      </w:r>
      <w:r w:rsidR="00790C02">
        <w:rPr>
          <w:noProof/>
          <w:color w:val="000000"/>
          <w:szCs w:val="20"/>
        </w:rPr>
        <w:drawing>
          <wp:inline distT="0" distB="0" distL="0" distR="0" wp14:anchorId="15099DA8" wp14:editId="2CF1E2C4">
            <wp:extent cx="1638300" cy="752475"/>
            <wp:effectExtent l="0" t="0" r="0" b="0"/>
            <wp:docPr id="1" name="Picture 1" descr="JRG Signature - Exec 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G Signature - Exec Se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52475"/>
                    </a:xfrm>
                    <a:prstGeom prst="rect">
                      <a:avLst/>
                    </a:prstGeom>
                    <a:noFill/>
                    <a:ln>
                      <a:noFill/>
                    </a:ln>
                  </pic:spPr>
                </pic:pic>
              </a:graphicData>
            </a:graphic>
          </wp:inline>
        </w:drawing>
      </w:r>
    </w:p>
    <w:p w14:paraId="3AE504FE" w14:textId="77777777" w:rsidR="003A7A1B" w:rsidRDefault="00446383" w:rsidP="00227958">
      <w:pPr>
        <w:jc w:val="both"/>
        <w:rPr>
          <w:rFonts w:cs="Arial"/>
        </w:rPr>
      </w:pPr>
      <w:r>
        <w:rPr>
          <w:color w:val="000000"/>
        </w:rPr>
        <w:tab/>
      </w:r>
      <w:r w:rsidR="00227958">
        <w:rPr>
          <w:color w:val="000000"/>
        </w:rPr>
        <w:tab/>
      </w:r>
      <w:r w:rsidR="00227958">
        <w:rPr>
          <w:color w:val="000000"/>
        </w:rPr>
        <w:tab/>
      </w:r>
      <w:r w:rsidR="00227958">
        <w:rPr>
          <w:color w:val="000000"/>
        </w:rPr>
        <w:tab/>
      </w:r>
      <w:r w:rsidR="00227958">
        <w:rPr>
          <w:color w:val="000000"/>
        </w:rPr>
        <w:tab/>
      </w:r>
      <w:r w:rsidR="003A7A1B">
        <w:rPr>
          <w:rFonts w:cs="Arial"/>
        </w:rPr>
        <w:t>Jeffrey R. Gaudiosi, Esq.</w:t>
      </w:r>
    </w:p>
    <w:p w14:paraId="7EFD5F3C" w14:textId="77777777" w:rsidR="003A7A1B" w:rsidRDefault="003A7A1B" w:rsidP="003A7A1B">
      <w:pPr>
        <w:ind w:left="3600"/>
        <w:jc w:val="both"/>
        <w:rPr>
          <w:rFonts w:cs="Arial"/>
        </w:rPr>
      </w:pPr>
      <w:r>
        <w:rPr>
          <w:rFonts w:cs="Arial"/>
        </w:rPr>
        <w:t>Executive Secretary</w:t>
      </w:r>
    </w:p>
    <w:p w14:paraId="593B6E44" w14:textId="77777777" w:rsidR="00227958" w:rsidRDefault="00227958" w:rsidP="003A7A1B">
      <w:pPr>
        <w:ind w:left="3600"/>
        <w:jc w:val="both"/>
        <w:rPr>
          <w:rFonts w:cs="Arial"/>
        </w:rPr>
      </w:pPr>
    </w:p>
    <w:p w14:paraId="58020F14" w14:textId="77777777" w:rsidR="00446383" w:rsidRPr="00582A73" w:rsidRDefault="00227958" w:rsidP="003A7A1B">
      <w:pPr>
        <w:tabs>
          <w:tab w:val="left" w:pos="3510"/>
        </w:tabs>
        <w:rPr>
          <w:rFonts w:eastAsia="Times New Roman"/>
          <w:szCs w:val="20"/>
        </w:rPr>
      </w:pPr>
      <w:r>
        <w:rPr>
          <w:color w:val="000000"/>
        </w:rPr>
        <w:t xml:space="preserve">cc: </w:t>
      </w:r>
      <w:r w:rsidR="00446383">
        <w:rPr>
          <w:color w:val="000000"/>
        </w:rPr>
        <w:t>Service List</w:t>
      </w:r>
    </w:p>
    <w:sectPr w:rsidR="00446383" w:rsidRPr="00582A73" w:rsidSect="007D0DF8">
      <w:footerReference w:type="first" r:id="rId11"/>
      <w:pgSz w:w="12240" w:h="15840" w:code="1"/>
      <w:pgMar w:top="1440" w:right="1440" w:bottom="1980" w:left="1440" w:header="432" w:footer="288"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80B6" w14:textId="77777777" w:rsidR="008804E8" w:rsidRDefault="008804E8" w:rsidP="00327991">
      <w:r>
        <w:separator/>
      </w:r>
    </w:p>
  </w:endnote>
  <w:endnote w:type="continuationSeparator" w:id="0">
    <w:p w14:paraId="3B3E498D" w14:textId="77777777" w:rsidR="008804E8" w:rsidRDefault="008804E8"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6A7F" w14:textId="77777777" w:rsidR="003A5C72" w:rsidRPr="009200CE" w:rsidRDefault="003A5C72" w:rsidP="00680B7C">
    <w:pPr>
      <w:tabs>
        <w:tab w:val="center" w:pos="4680"/>
        <w:tab w:val="right" w:pos="9360"/>
      </w:tabs>
      <w:jc w:val="center"/>
      <w:rPr>
        <w:rFonts w:ascii="Bodoni MT" w:hAnsi="Bodoni MT" w:cs="AngsanaUPC"/>
        <w:b/>
        <w:color w:val="1F497D"/>
        <w:szCs w:val="24"/>
      </w:rPr>
    </w:pPr>
    <w:r w:rsidRPr="009200CE">
      <w:rPr>
        <w:rFonts w:ascii="Bodoni MT" w:hAnsi="Bodoni MT" w:cs="AngsanaUPC"/>
        <w:b/>
        <w:color w:val="1F497D"/>
        <w:szCs w:val="24"/>
      </w:rPr>
      <w:t>10 Franklin Square, New Britain, CT 06051</w:t>
    </w:r>
  </w:p>
  <w:p w14:paraId="7E8987A3" w14:textId="77777777" w:rsidR="003A5C72" w:rsidRPr="009200CE" w:rsidRDefault="003A5C72"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7D258201" w14:textId="77777777" w:rsidR="003A5C72" w:rsidRPr="009200CE" w:rsidRDefault="003A5C72"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www.ct.gov/pura</w:t>
    </w:r>
  </w:p>
  <w:p w14:paraId="22F96211" w14:textId="77777777" w:rsidR="003A5C72" w:rsidRDefault="003A5C72">
    <w:pPr>
      <w:pStyle w:val="Footer"/>
    </w:pPr>
  </w:p>
  <w:p w14:paraId="5433E9D6" w14:textId="77777777" w:rsidR="003A5C72" w:rsidRDefault="003A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53947" w14:textId="77777777" w:rsidR="008804E8" w:rsidRDefault="008804E8" w:rsidP="00327991">
      <w:r>
        <w:separator/>
      </w:r>
    </w:p>
  </w:footnote>
  <w:footnote w:type="continuationSeparator" w:id="0">
    <w:p w14:paraId="13E0890D" w14:textId="77777777" w:rsidR="008804E8" w:rsidRDefault="008804E8" w:rsidP="00327991">
      <w:r>
        <w:continuationSeparator/>
      </w:r>
    </w:p>
  </w:footnote>
  <w:footnote w:id="1">
    <w:p w14:paraId="7F41879F" w14:textId="294D7823" w:rsidR="003A5C72" w:rsidRDefault="003A5C72">
      <w:pPr>
        <w:pStyle w:val="FootnoteText"/>
      </w:pPr>
      <w:r>
        <w:rPr>
          <w:rStyle w:val="FootnoteReference"/>
        </w:rPr>
        <w:footnoteRef/>
      </w:r>
      <w:r>
        <w:t xml:space="preserve"> CCA’s and Legal Services’ Addendum specifically requested an investigation regarding “electric and gas public service companies.” Addendum, p. 1.  </w:t>
      </w:r>
    </w:p>
  </w:footnote>
  <w:footnote w:id="2">
    <w:p w14:paraId="135CE617" w14:textId="4DF77989" w:rsidR="003A5C72" w:rsidRDefault="003A5C72">
      <w:pPr>
        <w:pStyle w:val="FootnoteText"/>
      </w:pPr>
      <w:r>
        <w:rPr>
          <w:rStyle w:val="FootnoteReference"/>
        </w:rPr>
        <w:footnoteRef/>
      </w:r>
      <w:r>
        <w:t xml:space="preserve"> CCA and Legal Services acknowledged that this proceeding related to all Public Service utilities, but is only requesting additional customer messaging to apply to Yankee Gas Services Company and The Connecticut Light and Power Company both d/b/a Eversource Energy (collectively Eversource), and UI.  </w:t>
      </w:r>
    </w:p>
  </w:footnote>
  <w:footnote w:id="3">
    <w:p w14:paraId="2184F2E6" w14:textId="7EAF0A67" w:rsidR="003A5C72" w:rsidRPr="00DF0FAF" w:rsidRDefault="003A5C72" w:rsidP="007E3DD6">
      <w:pPr>
        <w:pStyle w:val="FootnoteText"/>
      </w:pPr>
      <w:r>
        <w:rPr>
          <w:rStyle w:val="FootnoteReference"/>
        </w:rPr>
        <w:footnoteRef/>
      </w:r>
      <w:r>
        <w:t xml:space="preserve"> Docket No. 20-03-15, Ruling on Motion No. 1, dated March 12, 2020; Since the issuance of Order No. 1, the Governor has implemented “Stay Safe, Stay Home” restrictions. </w:t>
      </w:r>
      <w:r>
        <w:rPr>
          <w:i/>
        </w:rPr>
        <w:t xml:space="preserve">See, </w:t>
      </w:r>
      <w:r>
        <w:t xml:space="preserve">Executive Order No. 7H. </w:t>
      </w:r>
    </w:p>
  </w:footnote>
  <w:footnote w:id="4">
    <w:p w14:paraId="74983FA7" w14:textId="77777777" w:rsidR="003A5C72" w:rsidRPr="009D1CE6" w:rsidRDefault="003A5C72" w:rsidP="00DB17B2">
      <w:pPr>
        <w:pStyle w:val="FootnoteText"/>
      </w:pPr>
      <w:r>
        <w:rPr>
          <w:rStyle w:val="FootnoteReference"/>
        </w:rPr>
        <w:footnoteRef/>
      </w:r>
      <w:r>
        <w:t xml:space="preserve"> </w:t>
      </w:r>
      <w:r>
        <w:rPr>
          <w:i/>
        </w:rPr>
        <w:t>See</w:t>
      </w:r>
      <w:r>
        <w:t xml:space="preserve">, Interim Decision dated April 29, 2020 and Interim Decision Clarification dated May 15, 2020. </w:t>
      </w:r>
    </w:p>
  </w:footnote>
  <w:footnote w:id="5">
    <w:p w14:paraId="56F3C6B1" w14:textId="5BAD701B" w:rsidR="003A5C72" w:rsidRDefault="003A5C72">
      <w:pPr>
        <w:pStyle w:val="FootnoteText"/>
      </w:pPr>
      <w:r>
        <w:rPr>
          <w:rStyle w:val="FootnoteReference"/>
        </w:rPr>
        <w:footnoteRef/>
      </w:r>
      <w:r>
        <w:t xml:space="preserve"> While EOE is permitted to expand the scope of its audit conducted pursuant to Interim Decision Clarification dated May 15, 2020, at minimum the audits must encompass at least two calls from the following dates </w:t>
      </w:r>
      <w:r>
        <w:rPr>
          <w:color w:val="000000"/>
        </w:rPr>
        <w:t>on such dates: May 28, 2020, June 23, 2020, July 31, 2020, and August 5, 2020.  Additional dates, if requested, along with time ranges shall be specified by EOE in its request to each Public Service Utility.</w:t>
      </w:r>
    </w:p>
  </w:footnote>
  <w:footnote w:id="6">
    <w:p w14:paraId="2518A82B" w14:textId="23C416AD" w:rsidR="003A5C72" w:rsidRDefault="003A5C72">
      <w:pPr>
        <w:pStyle w:val="FootnoteText"/>
      </w:pPr>
      <w:r>
        <w:rPr>
          <w:rStyle w:val="FootnoteReference"/>
        </w:rPr>
        <w:footnoteRef/>
      </w:r>
      <w:r>
        <w:t xml:space="preserve"> The Authority understands that the Shut-off Moratorium concluded for non-residential customers on August 31, 2020. </w:t>
      </w:r>
    </w:p>
  </w:footnote>
  <w:footnote w:id="7">
    <w:p w14:paraId="45188195" w14:textId="4ACFD972" w:rsidR="003A5C72" w:rsidRDefault="003A5C72">
      <w:pPr>
        <w:pStyle w:val="FootnoteText"/>
      </w:pPr>
      <w:r>
        <w:rPr>
          <w:rStyle w:val="FootnoteReference"/>
        </w:rPr>
        <w:footnoteRef/>
      </w:r>
      <w:r>
        <w:t xml:space="preserve"> Motion No. 1 Ruling, dated March 12, 2020. </w:t>
      </w:r>
    </w:p>
  </w:footnote>
  <w:footnote w:id="8">
    <w:p w14:paraId="609D35AB" w14:textId="77777777" w:rsidR="003A5C72" w:rsidRPr="009D1CE6" w:rsidRDefault="003A5C72" w:rsidP="008B7150">
      <w:pPr>
        <w:pStyle w:val="FootnoteText"/>
      </w:pPr>
      <w:r>
        <w:rPr>
          <w:rStyle w:val="FootnoteReference"/>
        </w:rPr>
        <w:footnoteRef/>
      </w:r>
      <w:r>
        <w:t xml:space="preserve"> </w:t>
      </w:r>
      <w:r>
        <w:rPr>
          <w:i/>
        </w:rPr>
        <w:t>See</w:t>
      </w:r>
      <w:r>
        <w:t xml:space="preserve">, Interim Decision dated April 29, 2020 and Interim Decision Clarification dated May 15,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CB5"/>
    <w:multiLevelType w:val="hybridMultilevel"/>
    <w:tmpl w:val="AD76104C"/>
    <w:lvl w:ilvl="0" w:tplc="04090011">
      <w:start w:val="1"/>
      <w:numFmt w:val="decimal"/>
      <w:lvlText w:val="%1)"/>
      <w:lvlJc w:val="left"/>
      <w:pPr>
        <w:ind w:left="2160" w:hanging="360"/>
      </w:pPr>
    </w:lvl>
    <w:lvl w:ilvl="1" w:tplc="80B40094">
      <w:start w:val="1"/>
      <w:numFmt w:val="decimal"/>
      <w:lvlText w:val="(%2)"/>
      <w:lvlJc w:val="left"/>
      <w:pPr>
        <w:ind w:left="162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5D08461F"/>
    <w:multiLevelType w:val="hybridMultilevel"/>
    <w:tmpl w:val="5E8453D0"/>
    <w:lvl w:ilvl="0" w:tplc="BAB8D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8177C"/>
    <w:multiLevelType w:val="hybridMultilevel"/>
    <w:tmpl w:val="55B2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2">
      <w:lvl w:ilvl="2">
        <w:start w:val="1"/>
        <w:numFmt w:val="decimal"/>
        <w:pStyle w:val="Heading3"/>
        <w:lvlText w:val="%3."/>
        <w:lvlJc w:val="left"/>
        <w:pPr>
          <w:tabs>
            <w:tab w:val="num" w:pos="1800"/>
          </w:tabs>
          <w:ind w:left="1440" w:firstLine="0"/>
        </w:pPr>
        <w:rPr>
          <w:rFonts w:hint="default"/>
          <w:b w:val="0"/>
        </w:rPr>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F3"/>
    <w:rsid w:val="000025C9"/>
    <w:rsid w:val="00016489"/>
    <w:rsid w:val="00022DA8"/>
    <w:rsid w:val="00030F6A"/>
    <w:rsid w:val="00035EBA"/>
    <w:rsid w:val="0004217E"/>
    <w:rsid w:val="000513C8"/>
    <w:rsid w:val="000707B1"/>
    <w:rsid w:val="00080898"/>
    <w:rsid w:val="00090318"/>
    <w:rsid w:val="0009539D"/>
    <w:rsid w:val="000A138E"/>
    <w:rsid w:val="000A45A3"/>
    <w:rsid w:val="000B5E67"/>
    <w:rsid w:val="000C3A34"/>
    <w:rsid w:val="000C5762"/>
    <w:rsid w:val="000D10BF"/>
    <w:rsid w:val="000D30BB"/>
    <w:rsid w:val="000F0A9D"/>
    <w:rsid w:val="000F2111"/>
    <w:rsid w:val="000F53E5"/>
    <w:rsid w:val="000F7DC5"/>
    <w:rsid w:val="00107743"/>
    <w:rsid w:val="001078BD"/>
    <w:rsid w:val="001113AA"/>
    <w:rsid w:val="00124B5C"/>
    <w:rsid w:val="00136754"/>
    <w:rsid w:val="001404B6"/>
    <w:rsid w:val="00143248"/>
    <w:rsid w:val="00151031"/>
    <w:rsid w:val="001556CA"/>
    <w:rsid w:val="00170044"/>
    <w:rsid w:val="00177FBC"/>
    <w:rsid w:val="00195B81"/>
    <w:rsid w:val="001A1513"/>
    <w:rsid w:val="001B16F9"/>
    <w:rsid w:val="001C2106"/>
    <w:rsid w:val="001C2E25"/>
    <w:rsid w:val="001C4C8C"/>
    <w:rsid w:val="001D4788"/>
    <w:rsid w:val="001D75A2"/>
    <w:rsid w:val="001D78D0"/>
    <w:rsid w:val="001E12AB"/>
    <w:rsid w:val="001E4A2D"/>
    <w:rsid w:val="001F2792"/>
    <w:rsid w:val="00201FB7"/>
    <w:rsid w:val="00227958"/>
    <w:rsid w:val="00232632"/>
    <w:rsid w:val="00244A33"/>
    <w:rsid w:val="002462D6"/>
    <w:rsid w:val="00254203"/>
    <w:rsid w:val="002844D2"/>
    <w:rsid w:val="002B6CAE"/>
    <w:rsid w:val="002C4D0B"/>
    <w:rsid w:val="002C6A20"/>
    <w:rsid w:val="002D25D5"/>
    <w:rsid w:val="002D4567"/>
    <w:rsid w:val="002D45D1"/>
    <w:rsid w:val="002E0715"/>
    <w:rsid w:val="00327991"/>
    <w:rsid w:val="00331B52"/>
    <w:rsid w:val="003362CA"/>
    <w:rsid w:val="00343385"/>
    <w:rsid w:val="00375A7F"/>
    <w:rsid w:val="00381737"/>
    <w:rsid w:val="00392A70"/>
    <w:rsid w:val="0039744C"/>
    <w:rsid w:val="00397B63"/>
    <w:rsid w:val="003A5C72"/>
    <w:rsid w:val="003A7A1B"/>
    <w:rsid w:val="003C1B12"/>
    <w:rsid w:val="003E01D2"/>
    <w:rsid w:val="003E2041"/>
    <w:rsid w:val="003E5223"/>
    <w:rsid w:val="00404A0B"/>
    <w:rsid w:val="004058F7"/>
    <w:rsid w:val="00430EA6"/>
    <w:rsid w:val="00433E0A"/>
    <w:rsid w:val="00436AE5"/>
    <w:rsid w:val="00440FF7"/>
    <w:rsid w:val="00441995"/>
    <w:rsid w:val="00446383"/>
    <w:rsid w:val="00462697"/>
    <w:rsid w:val="004643F7"/>
    <w:rsid w:val="004647B6"/>
    <w:rsid w:val="004668D2"/>
    <w:rsid w:val="00480C8B"/>
    <w:rsid w:val="004E67C1"/>
    <w:rsid w:val="004F4298"/>
    <w:rsid w:val="00503A5E"/>
    <w:rsid w:val="005158DE"/>
    <w:rsid w:val="00547CF7"/>
    <w:rsid w:val="005810A8"/>
    <w:rsid w:val="00581E09"/>
    <w:rsid w:val="00582A73"/>
    <w:rsid w:val="00592F88"/>
    <w:rsid w:val="00597211"/>
    <w:rsid w:val="00597FD0"/>
    <w:rsid w:val="00600B15"/>
    <w:rsid w:val="006409E9"/>
    <w:rsid w:val="00653CE7"/>
    <w:rsid w:val="00664F63"/>
    <w:rsid w:val="00667646"/>
    <w:rsid w:val="00677433"/>
    <w:rsid w:val="00680B7C"/>
    <w:rsid w:val="00681487"/>
    <w:rsid w:val="006817FF"/>
    <w:rsid w:val="00684D97"/>
    <w:rsid w:val="0069055F"/>
    <w:rsid w:val="006A18F7"/>
    <w:rsid w:val="006A1AEB"/>
    <w:rsid w:val="006A5A0B"/>
    <w:rsid w:val="006A7C05"/>
    <w:rsid w:val="006B1C8D"/>
    <w:rsid w:val="006C650D"/>
    <w:rsid w:val="006E767A"/>
    <w:rsid w:val="006F2A4C"/>
    <w:rsid w:val="00711531"/>
    <w:rsid w:val="00713F2B"/>
    <w:rsid w:val="00737EF8"/>
    <w:rsid w:val="00741045"/>
    <w:rsid w:val="007470F5"/>
    <w:rsid w:val="0076241D"/>
    <w:rsid w:val="00787EA9"/>
    <w:rsid w:val="00790C02"/>
    <w:rsid w:val="00793D65"/>
    <w:rsid w:val="007963AD"/>
    <w:rsid w:val="00796B32"/>
    <w:rsid w:val="0079737C"/>
    <w:rsid w:val="007A4C07"/>
    <w:rsid w:val="007C1591"/>
    <w:rsid w:val="007D0DF8"/>
    <w:rsid w:val="007D4865"/>
    <w:rsid w:val="007D51DD"/>
    <w:rsid w:val="007E1240"/>
    <w:rsid w:val="007E221A"/>
    <w:rsid w:val="007E3358"/>
    <w:rsid w:val="007E3DD6"/>
    <w:rsid w:val="007E3E01"/>
    <w:rsid w:val="007F2474"/>
    <w:rsid w:val="00801149"/>
    <w:rsid w:val="0081277D"/>
    <w:rsid w:val="00824A74"/>
    <w:rsid w:val="00833333"/>
    <w:rsid w:val="0083369F"/>
    <w:rsid w:val="00861412"/>
    <w:rsid w:val="0087115E"/>
    <w:rsid w:val="008804E8"/>
    <w:rsid w:val="00893452"/>
    <w:rsid w:val="00895CD2"/>
    <w:rsid w:val="008B7150"/>
    <w:rsid w:val="008B7151"/>
    <w:rsid w:val="008D0730"/>
    <w:rsid w:val="008D1EC4"/>
    <w:rsid w:val="008E4BB4"/>
    <w:rsid w:val="009200CE"/>
    <w:rsid w:val="00927B53"/>
    <w:rsid w:val="0093054A"/>
    <w:rsid w:val="009501E0"/>
    <w:rsid w:val="00976983"/>
    <w:rsid w:val="0099216A"/>
    <w:rsid w:val="009B3BBF"/>
    <w:rsid w:val="009B5706"/>
    <w:rsid w:val="009C59AF"/>
    <w:rsid w:val="009C66E1"/>
    <w:rsid w:val="009C79BE"/>
    <w:rsid w:val="009D1CE6"/>
    <w:rsid w:val="009D3912"/>
    <w:rsid w:val="009D45F3"/>
    <w:rsid w:val="009F6DED"/>
    <w:rsid w:val="009F77A5"/>
    <w:rsid w:val="00A14AB3"/>
    <w:rsid w:val="00A233E1"/>
    <w:rsid w:val="00A24230"/>
    <w:rsid w:val="00A47647"/>
    <w:rsid w:val="00A50A30"/>
    <w:rsid w:val="00A53F53"/>
    <w:rsid w:val="00A576EE"/>
    <w:rsid w:val="00A60574"/>
    <w:rsid w:val="00A76FA3"/>
    <w:rsid w:val="00A83EDB"/>
    <w:rsid w:val="00A84761"/>
    <w:rsid w:val="00A94713"/>
    <w:rsid w:val="00A96ACA"/>
    <w:rsid w:val="00A9787F"/>
    <w:rsid w:val="00AA41E8"/>
    <w:rsid w:val="00AB5EF3"/>
    <w:rsid w:val="00AB6EF9"/>
    <w:rsid w:val="00AD51B3"/>
    <w:rsid w:val="00AD6493"/>
    <w:rsid w:val="00AF35FB"/>
    <w:rsid w:val="00B319FF"/>
    <w:rsid w:val="00B50B2D"/>
    <w:rsid w:val="00B61954"/>
    <w:rsid w:val="00B834DD"/>
    <w:rsid w:val="00B849A1"/>
    <w:rsid w:val="00B84E8E"/>
    <w:rsid w:val="00BA0E9C"/>
    <w:rsid w:val="00BA27DD"/>
    <w:rsid w:val="00BB2271"/>
    <w:rsid w:val="00BB5DF6"/>
    <w:rsid w:val="00BB64D4"/>
    <w:rsid w:val="00BD7985"/>
    <w:rsid w:val="00BE1A70"/>
    <w:rsid w:val="00BF153A"/>
    <w:rsid w:val="00C226B6"/>
    <w:rsid w:val="00C31918"/>
    <w:rsid w:val="00C442C2"/>
    <w:rsid w:val="00C50810"/>
    <w:rsid w:val="00C65328"/>
    <w:rsid w:val="00C7519A"/>
    <w:rsid w:val="00C76DE4"/>
    <w:rsid w:val="00C7727B"/>
    <w:rsid w:val="00C8321F"/>
    <w:rsid w:val="00C8387B"/>
    <w:rsid w:val="00C84AE4"/>
    <w:rsid w:val="00C872BC"/>
    <w:rsid w:val="00CB409C"/>
    <w:rsid w:val="00CD13B7"/>
    <w:rsid w:val="00CD5159"/>
    <w:rsid w:val="00CE6447"/>
    <w:rsid w:val="00CF7641"/>
    <w:rsid w:val="00D0310B"/>
    <w:rsid w:val="00D222AF"/>
    <w:rsid w:val="00D32DC4"/>
    <w:rsid w:val="00D35C10"/>
    <w:rsid w:val="00D440B1"/>
    <w:rsid w:val="00D52149"/>
    <w:rsid w:val="00D54C2C"/>
    <w:rsid w:val="00D67989"/>
    <w:rsid w:val="00D71132"/>
    <w:rsid w:val="00D80A0C"/>
    <w:rsid w:val="00D85A2B"/>
    <w:rsid w:val="00D969F3"/>
    <w:rsid w:val="00DA0D0E"/>
    <w:rsid w:val="00DB0F7F"/>
    <w:rsid w:val="00DB17B2"/>
    <w:rsid w:val="00DB1B6D"/>
    <w:rsid w:val="00DB3AAC"/>
    <w:rsid w:val="00DC6A48"/>
    <w:rsid w:val="00DE0E38"/>
    <w:rsid w:val="00DE1A47"/>
    <w:rsid w:val="00DE3011"/>
    <w:rsid w:val="00DE6E8C"/>
    <w:rsid w:val="00DF3850"/>
    <w:rsid w:val="00DF3E19"/>
    <w:rsid w:val="00DF726E"/>
    <w:rsid w:val="00E05B48"/>
    <w:rsid w:val="00E11CC3"/>
    <w:rsid w:val="00E12531"/>
    <w:rsid w:val="00E4202B"/>
    <w:rsid w:val="00E50717"/>
    <w:rsid w:val="00E7306F"/>
    <w:rsid w:val="00E85DDE"/>
    <w:rsid w:val="00EA5DE3"/>
    <w:rsid w:val="00EC0696"/>
    <w:rsid w:val="00EC2071"/>
    <w:rsid w:val="00EE5423"/>
    <w:rsid w:val="00F11A7E"/>
    <w:rsid w:val="00F123CA"/>
    <w:rsid w:val="00F14A71"/>
    <w:rsid w:val="00F4489A"/>
    <w:rsid w:val="00F44D89"/>
    <w:rsid w:val="00F55BA3"/>
    <w:rsid w:val="00F64CD3"/>
    <w:rsid w:val="00F66228"/>
    <w:rsid w:val="00F8750C"/>
    <w:rsid w:val="00F97DF2"/>
    <w:rsid w:val="00FA4DBA"/>
    <w:rsid w:val="00FB1867"/>
    <w:rsid w:val="00FB3B73"/>
    <w:rsid w:val="00FB5562"/>
    <w:rsid w:val="00FD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E073"/>
  <w15:chartTrackingRefBased/>
  <w15:docId w15:val="{0B5215E8-C6E0-41F0-B691-557ED5BF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unhideWhenUsed/>
    <w:rsid w:val="00016489"/>
    <w:rPr>
      <w:sz w:val="20"/>
      <w:szCs w:val="20"/>
    </w:rPr>
  </w:style>
  <w:style w:type="character" w:customStyle="1" w:styleId="FootnoteTextChar">
    <w:name w:val="Footnote Text Char"/>
    <w:link w:val="FootnoteText"/>
    <w:uiPriority w:val="99"/>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uiPriority w:val="99"/>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ListParagraph">
    <w:name w:val="List Paragraph"/>
    <w:basedOn w:val="Normal"/>
    <w:uiPriority w:val="34"/>
    <w:qFormat/>
    <w:rsid w:val="00C226B6"/>
    <w:pPr>
      <w:ind w:left="720"/>
    </w:pPr>
    <w:rPr>
      <w:rFonts w:ascii="Calibri" w:eastAsiaTheme="minorHAnsi" w:hAnsi="Calibri" w:cs="Calibri"/>
      <w:sz w:val="22"/>
    </w:rPr>
  </w:style>
  <w:style w:type="character" w:styleId="CommentReference">
    <w:name w:val="annotation reference"/>
    <w:basedOn w:val="DefaultParagraphFont"/>
    <w:uiPriority w:val="99"/>
    <w:semiHidden/>
    <w:unhideWhenUsed/>
    <w:rsid w:val="00653CE7"/>
    <w:rPr>
      <w:sz w:val="16"/>
      <w:szCs w:val="16"/>
    </w:rPr>
  </w:style>
  <w:style w:type="paragraph" w:styleId="CommentText">
    <w:name w:val="annotation text"/>
    <w:basedOn w:val="Normal"/>
    <w:link w:val="CommentTextChar"/>
    <w:uiPriority w:val="99"/>
    <w:semiHidden/>
    <w:unhideWhenUsed/>
    <w:rsid w:val="00653CE7"/>
    <w:rPr>
      <w:sz w:val="20"/>
      <w:szCs w:val="20"/>
    </w:rPr>
  </w:style>
  <w:style w:type="character" w:customStyle="1" w:styleId="CommentTextChar">
    <w:name w:val="Comment Text Char"/>
    <w:basedOn w:val="DefaultParagraphFont"/>
    <w:link w:val="CommentText"/>
    <w:uiPriority w:val="99"/>
    <w:semiHidden/>
    <w:rsid w:val="00653CE7"/>
    <w:rPr>
      <w:rFonts w:ascii="Arial" w:hAnsi="Arial"/>
    </w:rPr>
  </w:style>
  <w:style w:type="paragraph" w:styleId="CommentSubject">
    <w:name w:val="annotation subject"/>
    <w:basedOn w:val="CommentText"/>
    <w:next w:val="CommentText"/>
    <w:link w:val="CommentSubjectChar"/>
    <w:uiPriority w:val="99"/>
    <w:semiHidden/>
    <w:unhideWhenUsed/>
    <w:rsid w:val="00653CE7"/>
    <w:rPr>
      <w:b/>
      <w:bCs/>
    </w:rPr>
  </w:style>
  <w:style w:type="character" w:customStyle="1" w:styleId="CommentSubjectChar">
    <w:name w:val="Comment Subject Char"/>
    <w:basedOn w:val="CommentTextChar"/>
    <w:link w:val="CommentSubject"/>
    <w:uiPriority w:val="99"/>
    <w:semiHidden/>
    <w:rsid w:val="00653C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93411">
      <w:bodyDiv w:val="1"/>
      <w:marLeft w:val="0"/>
      <w:marRight w:val="0"/>
      <w:marTop w:val="0"/>
      <w:marBottom w:val="0"/>
      <w:divBdr>
        <w:top w:val="none" w:sz="0" w:space="0" w:color="auto"/>
        <w:left w:val="none" w:sz="0" w:space="0" w:color="auto"/>
        <w:bottom w:val="none" w:sz="0" w:space="0" w:color="auto"/>
        <w:right w:val="none" w:sz="0" w:space="0" w:color="auto"/>
      </w:divBdr>
    </w:div>
    <w:div w:id="746918622">
      <w:bodyDiv w:val="1"/>
      <w:marLeft w:val="0"/>
      <w:marRight w:val="0"/>
      <w:marTop w:val="0"/>
      <w:marBottom w:val="0"/>
      <w:divBdr>
        <w:top w:val="none" w:sz="0" w:space="0" w:color="auto"/>
        <w:left w:val="none" w:sz="0" w:space="0" w:color="auto"/>
        <w:bottom w:val="none" w:sz="0" w:space="0" w:color="auto"/>
        <w:right w:val="none" w:sz="0" w:space="0" w:color="auto"/>
      </w:divBdr>
    </w:div>
    <w:div w:id="1485774668">
      <w:bodyDiv w:val="1"/>
      <w:marLeft w:val="0"/>
      <w:marRight w:val="0"/>
      <w:marTop w:val="0"/>
      <w:marBottom w:val="0"/>
      <w:divBdr>
        <w:top w:val="none" w:sz="0" w:space="0" w:color="auto"/>
        <w:left w:val="none" w:sz="0" w:space="0" w:color="auto"/>
        <w:bottom w:val="none" w:sz="0" w:space="0" w:color="auto"/>
        <w:right w:val="none" w:sz="0" w:space="0" w:color="auto"/>
      </w:divBdr>
    </w:div>
    <w:div w:id="2079932411">
      <w:bodyDiv w:val="1"/>
      <w:marLeft w:val="0"/>
      <w:marRight w:val="0"/>
      <w:marTop w:val="0"/>
      <w:marBottom w:val="0"/>
      <w:divBdr>
        <w:top w:val="none" w:sz="0" w:space="0" w:color="auto"/>
        <w:left w:val="none" w:sz="0" w:space="0" w:color="auto"/>
        <w:bottom w:val="none" w:sz="0" w:space="0" w:color="auto"/>
        <w:right w:val="none" w:sz="0" w:space="0" w:color="auto"/>
      </w:divBdr>
    </w:div>
    <w:div w:id="21296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ED11-8979-4AEA-BF9E-12C89E6C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 Rivera</dc:creator>
  <cp:keywords/>
  <cp:lastModifiedBy>Bonnie Berk</cp:lastModifiedBy>
  <cp:revision>2</cp:revision>
  <cp:lastPrinted>2020-01-31T13:51:00Z</cp:lastPrinted>
  <dcterms:created xsi:type="dcterms:W3CDTF">2020-09-02T15:36:00Z</dcterms:created>
  <dcterms:modified xsi:type="dcterms:W3CDTF">2020-09-02T15:36:00Z</dcterms:modified>
</cp:coreProperties>
</file>