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FB66" w14:textId="77777777" w:rsidR="00BA687B" w:rsidRPr="00522BCB" w:rsidRDefault="00522BCB" w:rsidP="00522BCB">
      <w:pPr>
        <w:pStyle w:val="Style1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420178"/>
          <w:sz w:val="32"/>
          <w:szCs w:val="32"/>
        </w:rPr>
        <w:drawing>
          <wp:inline distT="0" distB="0" distL="0" distR="0" wp14:anchorId="6C49345F" wp14:editId="4F6B243C">
            <wp:extent cx="2273300" cy="1219200"/>
            <wp:effectExtent l="0" t="0" r="1270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6EF7" w14:textId="77777777" w:rsidR="00BA687B" w:rsidRPr="00B857D4" w:rsidRDefault="00BA687B" w:rsidP="00BA68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F839" wp14:editId="0294882A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7531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A7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6.4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"/>
            </w:pict>
          </mc:Fallback>
        </mc:AlternateContent>
      </w:r>
    </w:p>
    <w:p w14:paraId="7E75DDAE" w14:textId="77777777" w:rsidR="00BA1BE4" w:rsidRDefault="00BA1BE4" w:rsidP="00BA1BE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IMPORTANT</w:t>
      </w:r>
      <w:r w:rsidR="00FC039A" w:rsidRPr="00BA687B">
        <w:rPr>
          <w:rFonts w:ascii="Arial" w:hAnsi="Arial" w:cs="Arial"/>
          <w:b/>
          <w:color w:val="0070C0"/>
        </w:rPr>
        <w:t xml:space="preserve"> TIPS FOR LAWYERS REPRESENTING CHILDREN</w:t>
      </w:r>
    </w:p>
    <w:p w14:paraId="0AC66841" w14:textId="77777777" w:rsidR="00CB139E" w:rsidRPr="00CB139E" w:rsidRDefault="00CB139E" w:rsidP="00BA1BE4">
      <w:pPr>
        <w:rPr>
          <w:rFonts w:ascii="Arial" w:hAnsi="Arial" w:cs="Arial"/>
          <w:b/>
          <w:color w:val="0070C0"/>
          <w:sz w:val="16"/>
          <w:szCs w:val="16"/>
        </w:rPr>
      </w:pPr>
    </w:p>
    <w:p w14:paraId="789A4BD1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1BE4">
        <w:rPr>
          <w:rFonts w:ascii="Arial" w:hAnsi="Arial" w:cs="Arial"/>
          <w:b/>
        </w:rPr>
        <w:t>Call up the chain of command at DCF and document your conversations in email.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>If you do not receive what your client needs in a timely fashion, do not be afraid to file a motion in court.</w:t>
      </w:r>
      <w:r>
        <w:rPr>
          <w:rFonts w:ascii="Arial" w:hAnsi="Arial" w:cs="Arial"/>
          <w:sz w:val="20"/>
          <w:szCs w:val="20"/>
        </w:rPr>
        <w:br/>
      </w:r>
    </w:p>
    <w:p w14:paraId="525B98B2" w14:textId="77777777" w:rsidR="00BA1BE4" w:rsidRPr="00433312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3312">
        <w:rPr>
          <w:rFonts w:ascii="Arial" w:hAnsi="Arial" w:cs="Arial"/>
          <w:b/>
        </w:rPr>
        <w:t>Children under</w:t>
      </w:r>
      <w:r w:rsidR="00433312" w:rsidRPr="00433312">
        <w:rPr>
          <w:rFonts w:ascii="Arial" w:hAnsi="Arial" w:cs="Arial"/>
          <w:b/>
        </w:rPr>
        <w:t xml:space="preserve"> age 3</w:t>
      </w:r>
      <w:r w:rsidRPr="00433312">
        <w:rPr>
          <w:rFonts w:ascii="Arial" w:hAnsi="Arial" w:cs="Arial"/>
          <w:b/>
        </w:rPr>
        <w:t>, particularly infants 6 months and under, are the most vulnerable to child abuse and neglect.</w:t>
      </w:r>
      <w:r w:rsidRPr="00433312">
        <w:rPr>
          <w:rFonts w:ascii="Arial" w:hAnsi="Arial" w:cs="Arial"/>
          <w:sz w:val="20"/>
          <w:szCs w:val="20"/>
        </w:rPr>
        <w:t xml:space="preserve">  </w:t>
      </w:r>
      <w:r w:rsidRPr="00433312">
        <w:rPr>
          <w:rFonts w:ascii="Arial" w:hAnsi="Arial" w:cs="Arial"/>
          <w:sz w:val="20"/>
          <w:szCs w:val="20"/>
        </w:rPr>
        <w:br/>
        <w:t xml:space="preserve">Treat cases involving non-school aged children with heightened caution and urgency. </w:t>
      </w:r>
      <w:r w:rsidRPr="00433312">
        <w:rPr>
          <w:rFonts w:ascii="Arial" w:hAnsi="Arial" w:cs="Arial"/>
          <w:sz w:val="20"/>
          <w:szCs w:val="20"/>
        </w:rPr>
        <w:br/>
      </w:r>
      <w:r w:rsidR="00433312" w:rsidRPr="00433312">
        <w:rPr>
          <w:rFonts w:ascii="Arial" w:hAnsi="Arial" w:cs="Arial"/>
          <w:sz w:val="16"/>
          <w:szCs w:val="16"/>
        </w:rPr>
        <w:br/>
      </w:r>
      <w:r w:rsidRPr="00433312">
        <w:rPr>
          <w:rFonts w:ascii="Arial" w:hAnsi="Arial" w:cs="Arial"/>
          <w:sz w:val="20"/>
          <w:szCs w:val="20"/>
        </w:rPr>
        <w:t xml:space="preserve">Hold DCF to the highest standard of care and timeliness, as developmental windows are critical and a child’s sense of time may be very different from your own.  </w:t>
      </w:r>
      <w:r w:rsidRPr="00433312">
        <w:rPr>
          <w:rFonts w:ascii="Arial" w:hAnsi="Arial" w:cs="Arial"/>
          <w:sz w:val="20"/>
          <w:szCs w:val="20"/>
        </w:rPr>
        <w:br/>
      </w:r>
      <w:r w:rsidR="00433312" w:rsidRPr="00433312">
        <w:rPr>
          <w:rFonts w:ascii="Arial" w:hAnsi="Arial" w:cs="Arial"/>
          <w:sz w:val="16"/>
          <w:szCs w:val="16"/>
        </w:rPr>
        <w:br/>
      </w:r>
      <w:r w:rsidRPr="00433312">
        <w:rPr>
          <w:rFonts w:ascii="Arial" w:hAnsi="Arial" w:cs="Arial"/>
          <w:sz w:val="20"/>
          <w:szCs w:val="20"/>
        </w:rPr>
        <w:t xml:space="preserve">Make sure each child under </w:t>
      </w:r>
      <w:r w:rsidR="00433312" w:rsidRPr="00433312">
        <w:rPr>
          <w:rFonts w:ascii="Arial" w:hAnsi="Arial" w:cs="Arial"/>
          <w:sz w:val="20"/>
          <w:szCs w:val="20"/>
        </w:rPr>
        <w:t>3</w:t>
      </w:r>
      <w:r w:rsidRPr="00433312">
        <w:rPr>
          <w:rFonts w:ascii="Arial" w:hAnsi="Arial" w:cs="Arial"/>
          <w:sz w:val="20"/>
          <w:szCs w:val="20"/>
        </w:rPr>
        <w:t xml:space="preserve"> is screened for developmental delays at least twice per year and receives early intervention and education services (even if the chil</w:t>
      </w:r>
      <w:r w:rsidR="00433312" w:rsidRPr="00433312">
        <w:rPr>
          <w:rFonts w:ascii="Arial" w:hAnsi="Arial" w:cs="Arial"/>
          <w:sz w:val="20"/>
          <w:szCs w:val="20"/>
        </w:rPr>
        <w:t>d is developmentally on target)</w:t>
      </w:r>
      <w:r w:rsidRPr="00433312">
        <w:rPr>
          <w:rFonts w:ascii="Arial" w:hAnsi="Arial" w:cs="Arial"/>
          <w:sz w:val="20"/>
          <w:szCs w:val="20"/>
        </w:rPr>
        <w:t xml:space="preserve"> such as Early Head Start.  </w:t>
      </w:r>
      <w:r w:rsidRPr="00433312">
        <w:rPr>
          <w:rFonts w:ascii="Arial" w:hAnsi="Arial" w:cs="Arial"/>
          <w:sz w:val="20"/>
          <w:szCs w:val="20"/>
        </w:rPr>
        <w:br/>
      </w:r>
      <w:r w:rsidR="00433312" w:rsidRPr="00433312">
        <w:rPr>
          <w:rFonts w:ascii="Arial" w:hAnsi="Arial" w:cs="Arial"/>
          <w:sz w:val="16"/>
          <w:szCs w:val="16"/>
        </w:rPr>
        <w:br/>
      </w:r>
      <w:r w:rsidRPr="00433312">
        <w:rPr>
          <w:rFonts w:ascii="Arial" w:hAnsi="Arial" w:cs="Arial"/>
          <w:sz w:val="20"/>
          <w:szCs w:val="20"/>
        </w:rPr>
        <w:t xml:space="preserve">Make sure each young child you represent in a high-risk family is receiving the full array of </w:t>
      </w:r>
      <w:r w:rsidR="00433312">
        <w:rPr>
          <w:rFonts w:ascii="Arial" w:hAnsi="Arial" w:cs="Arial"/>
          <w:sz w:val="20"/>
          <w:szCs w:val="20"/>
        </w:rPr>
        <w:t>services offered to meet his/</w:t>
      </w:r>
      <w:r w:rsidRPr="00433312">
        <w:rPr>
          <w:rFonts w:ascii="Arial" w:hAnsi="Arial" w:cs="Arial"/>
          <w:sz w:val="20"/>
          <w:szCs w:val="20"/>
        </w:rPr>
        <w:t xml:space="preserve">her safety, emotional, and developmental needs.   </w:t>
      </w:r>
      <w:r w:rsidRPr="00433312">
        <w:rPr>
          <w:rFonts w:ascii="Arial" w:hAnsi="Arial" w:cs="Arial"/>
          <w:sz w:val="20"/>
          <w:szCs w:val="20"/>
        </w:rPr>
        <w:br/>
      </w:r>
    </w:p>
    <w:p w14:paraId="1EFDC39A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1BE4">
        <w:rPr>
          <w:rFonts w:ascii="Arial" w:hAnsi="Arial" w:cs="Arial"/>
          <w:b/>
        </w:rPr>
        <w:t>Do everything possible to persuade your clients not to “sign out” of DCF at age 18</w:t>
      </w:r>
      <w:r w:rsidRPr="00BA1BE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 xml:space="preserve">DCF can offer excellent educational and </w:t>
      </w:r>
      <w:r w:rsidR="00433312">
        <w:rPr>
          <w:rFonts w:ascii="Arial" w:hAnsi="Arial" w:cs="Arial"/>
          <w:sz w:val="20"/>
          <w:szCs w:val="20"/>
        </w:rPr>
        <w:t xml:space="preserve">other benefits to older youth. </w:t>
      </w:r>
      <w:r>
        <w:rPr>
          <w:rFonts w:ascii="Arial" w:hAnsi="Arial" w:cs="Arial"/>
          <w:sz w:val="20"/>
          <w:szCs w:val="20"/>
        </w:rPr>
        <w:t>D</w:t>
      </w:r>
      <w:r w:rsidRPr="00BA1BE4">
        <w:rPr>
          <w:rFonts w:ascii="Arial" w:hAnsi="Arial" w:cs="Arial"/>
          <w:sz w:val="20"/>
          <w:szCs w:val="20"/>
        </w:rPr>
        <w:t>on’t let DCF persuade your</w:t>
      </w:r>
      <w:r>
        <w:rPr>
          <w:rFonts w:ascii="Arial" w:hAnsi="Arial" w:cs="Arial"/>
          <w:sz w:val="20"/>
          <w:szCs w:val="20"/>
        </w:rPr>
        <w:t xml:space="preserve"> client to go it alone at 1</w:t>
      </w:r>
      <w:r w:rsidR="00433312">
        <w:rPr>
          <w:rFonts w:ascii="Arial" w:hAnsi="Arial" w:cs="Arial"/>
          <w:sz w:val="20"/>
          <w:szCs w:val="20"/>
        </w:rPr>
        <w:t>8. R</w:t>
      </w:r>
      <w:r>
        <w:rPr>
          <w:rFonts w:ascii="Arial" w:hAnsi="Arial" w:cs="Arial"/>
          <w:sz w:val="20"/>
          <w:szCs w:val="20"/>
        </w:rPr>
        <w:t>e-entry is hard</w:t>
      </w:r>
      <w:r w:rsidRPr="00BA1B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845A3BF" w14:textId="77777777" w:rsidR="00433312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A1BE4">
        <w:rPr>
          <w:rFonts w:ascii="Arial" w:hAnsi="Arial" w:cs="Arial"/>
          <w:b/>
        </w:rPr>
        <w:t>Seek opportunities for your client to speak for him/herself and participate in decision-making about his/her future.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>Children have a right to participate in court, in case plan meetin</w:t>
      </w:r>
      <w:r w:rsidR="002F4A21">
        <w:rPr>
          <w:rFonts w:ascii="Arial" w:hAnsi="Arial" w:cs="Arial"/>
          <w:sz w:val="20"/>
          <w:szCs w:val="20"/>
        </w:rPr>
        <w:t>gs, and in important decisions.</w:t>
      </w:r>
      <w:r w:rsidRPr="00BA1BE4">
        <w:rPr>
          <w:rFonts w:ascii="Arial" w:hAnsi="Arial" w:cs="Arial"/>
          <w:sz w:val="20"/>
          <w:szCs w:val="20"/>
        </w:rPr>
        <w:t xml:space="preserve"> Insist that meetings be scheduled outside of school hours, and insist that DCF transport your client in person to all meetings in which they wish to participate.</w:t>
      </w:r>
      <w:r w:rsidR="00433312">
        <w:rPr>
          <w:rFonts w:ascii="Arial" w:hAnsi="Arial" w:cs="Arial"/>
          <w:sz w:val="20"/>
          <w:szCs w:val="20"/>
        </w:rPr>
        <w:br/>
      </w:r>
    </w:p>
    <w:p w14:paraId="72A77DB9" w14:textId="77777777" w:rsidR="00CB139E" w:rsidRPr="00A22306" w:rsidRDefault="00BA1BE4" w:rsidP="00CB139E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33312">
        <w:rPr>
          <w:rFonts w:ascii="Arial" w:hAnsi="Arial" w:cs="Arial"/>
          <w:b/>
        </w:rPr>
        <w:t>Ensure that your clients – from preschoolers to college aged students – have the best educational opportunity possible</w:t>
      </w:r>
      <w:r w:rsidRPr="00433312">
        <w:rPr>
          <w:rFonts w:ascii="Arial" w:hAnsi="Arial" w:cs="Arial"/>
          <w:sz w:val="20"/>
          <w:szCs w:val="20"/>
        </w:rPr>
        <w:t xml:space="preserve">.  </w:t>
      </w:r>
      <w:r w:rsidRPr="00433312">
        <w:rPr>
          <w:rFonts w:ascii="Arial" w:hAnsi="Arial" w:cs="Arial"/>
          <w:sz w:val="20"/>
          <w:szCs w:val="20"/>
        </w:rPr>
        <w:br/>
        <w:t>Make sure each three or four year old is enrolled in and attending a high-quality preschool unless there</w:t>
      </w:r>
      <w:r w:rsidR="00CB139E">
        <w:rPr>
          <w:rFonts w:ascii="Arial" w:hAnsi="Arial" w:cs="Arial"/>
          <w:sz w:val="20"/>
          <w:szCs w:val="20"/>
        </w:rPr>
        <w:t xml:space="preserve"> a</w:t>
      </w:r>
      <w:r w:rsidRPr="00433312">
        <w:rPr>
          <w:rFonts w:ascii="Arial" w:hAnsi="Arial" w:cs="Arial"/>
          <w:sz w:val="20"/>
          <w:szCs w:val="20"/>
        </w:rPr>
        <w:t xml:space="preserve">re compelling and documented reasons why preschool is not </w:t>
      </w:r>
      <w:r w:rsidR="00433312">
        <w:rPr>
          <w:rFonts w:ascii="Arial" w:hAnsi="Arial" w:cs="Arial"/>
          <w:sz w:val="20"/>
          <w:szCs w:val="20"/>
        </w:rPr>
        <w:t xml:space="preserve">in the child’s best interest. </w:t>
      </w:r>
      <w:r w:rsidRPr="00433312">
        <w:rPr>
          <w:rFonts w:ascii="Arial" w:hAnsi="Arial" w:cs="Arial"/>
          <w:sz w:val="20"/>
          <w:szCs w:val="20"/>
        </w:rPr>
        <w:t xml:space="preserve">Ask for an educational surrogate for each committed child with special education needs (or </w:t>
      </w:r>
      <w:r w:rsidRPr="00433312">
        <w:rPr>
          <w:rFonts w:ascii="Arial" w:hAnsi="Arial" w:cs="Arial"/>
          <w:i/>
          <w:sz w:val="20"/>
          <w:szCs w:val="20"/>
        </w:rPr>
        <w:t xml:space="preserve">potential </w:t>
      </w:r>
      <w:r w:rsidRPr="00CB139E">
        <w:rPr>
          <w:rFonts w:ascii="Arial" w:hAnsi="Arial" w:cs="Arial"/>
          <w:sz w:val="20"/>
          <w:szCs w:val="20"/>
        </w:rPr>
        <w:t xml:space="preserve">unidentified special education needs).  </w:t>
      </w:r>
      <w:r w:rsidRPr="00CB139E">
        <w:rPr>
          <w:rFonts w:ascii="Arial" w:hAnsi="Arial" w:cs="Arial"/>
          <w:sz w:val="20"/>
          <w:szCs w:val="20"/>
        </w:rPr>
        <w:br/>
      </w:r>
      <w:r w:rsidR="00CB139E" w:rsidRPr="00A22306">
        <w:rPr>
          <w:rFonts w:ascii="Arial" w:hAnsi="Arial" w:cs="Arial"/>
          <w:sz w:val="16"/>
          <w:szCs w:val="16"/>
        </w:rPr>
        <w:br/>
      </w:r>
      <w:r w:rsidRPr="00CB139E">
        <w:rPr>
          <w:rFonts w:ascii="Arial" w:hAnsi="Arial" w:cs="Arial"/>
          <w:sz w:val="20"/>
          <w:szCs w:val="20"/>
        </w:rPr>
        <w:t xml:space="preserve">Make sure you and DCF have and use </w:t>
      </w:r>
      <w:r w:rsidRPr="00CB139E">
        <w:rPr>
          <w:rFonts w:ascii="Arial" w:hAnsi="Arial" w:cs="Arial"/>
          <w:i/>
          <w:sz w:val="20"/>
          <w:szCs w:val="20"/>
        </w:rPr>
        <w:t xml:space="preserve">all </w:t>
      </w:r>
      <w:r w:rsidRPr="00CB139E">
        <w:rPr>
          <w:rFonts w:ascii="Arial" w:hAnsi="Arial" w:cs="Arial"/>
          <w:sz w:val="20"/>
          <w:szCs w:val="20"/>
        </w:rPr>
        <w:t>relevant educational inf</w:t>
      </w:r>
      <w:r w:rsidR="00CB139E">
        <w:rPr>
          <w:rFonts w:ascii="Arial" w:hAnsi="Arial" w:cs="Arial"/>
          <w:sz w:val="20"/>
          <w:szCs w:val="20"/>
        </w:rPr>
        <w:t xml:space="preserve">ormation (including attendance, </w:t>
      </w:r>
      <w:r w:rsidRPr="00CB139E">
        <w:rPr>
          <w:rFonts w:ascii="Arial" w:hAnsi="Arial" w:cs="Arial"/>
          <w:sz w:val="20"/>
          <w:szCs w:val="20"/>
        </w:rPr>
        <w:t xml:space="preserve">discipline history, special education documents, testing information, special education status, and grade level performance). </w:t>
      </w:r>
      <w:r w:rsidRPr="00CB139E">
        <w:rPr>
          <w:rFonts w:ascii="Arial" w:hAnsi="Arial" w:cs="Arial"/>
          <w:sz w:val="20"/>
          <w:szCs w:val="20"/>
        </w:rPr>
        <w:br/>
      </w:r>
      <w:r w:rsidR="00A22306" w:rsidRPr="00A22306">
        <w:rPr>
          <w:rFonts w:ascii="Arial" w:hAnsi="Arial" w:cs="Arial"/>
          <w:sz w:val="16"/>
          <w:szCs w:val="16"/>
        </w:rPr>
        <w:lastRenderedPageBreak/>
        <w:br/>
      </w:r>
      <w:r w:rsidRPr="00CB139E">
        <w:rPr>
          <w:rFonts w:ascii="Arial" w:hAnsi="Arial" w:cs="Arial"/>
          <w:sz w:val="20"/>
          <w:szCs w:val="20"/>
        </w:rPr>
        <w:t xml:space="preserve">Work with DCF or parents to enroll students in relevant magnet school lotteries.  </w:t>
      </w:r>
      <w:r w:rsidR="00433312" w:rsidRPr="00CB139E">
        <w:rPr>
          <w:rFonts w:ascii="Arial" w:hAnsi="Arial" w:cs="Arial"/>
          <w:sz w:val="20"/>
          <w:szCs w:val="20"/>
        </w:rPr>
        <w:br/>
      </w:r>
    </w:p>
    <w:p w14:paraId="1E8F09E9" w14:textId="3C77D17D" w:rsidR="00BA1BE4" w:rsidRPr="00CB139E" w:rsidRDefault="00BA1BE4" w:rsidP="00CB139E">
      <w:pPr>
        <w:pStyle w:val="ListParagraph"/>
        <w:rPr>
          <w:rFonts w:ascii="Arial" w:hAnsi="Arial" w:cs="Arial"/>
          <w:sz w:val="20"/>
          <w:szCs w:val="20"/>
        </w:rPr>
      </w:pPr>
      <w:r w:rsidRPr="00CB139E">
        <w:rPr>
          <w:rFonts w:ascii="Arial" w:hAnsi="Arial" w:cs="Arial"/>
          <w:sz w:val="20"/>
          <w:szCs w:val="20"/>
        </w:rPr>
        <w:t xml:space="preserve">Establish open lines of communication with educators at your clients’ schools.  </w:t>
      </w:r>
      <w:r w:rsidR="00433312" w:rsidRPr="00CB139E">
        <w:rPr>
          <w:rFonts w:ascii="Arial" w:hAnsi="Arial" w:cs="Arial"/>
          <w:sz w:val="20"/>
          <w:szCs w:val="20"/>
        </w:rPr>
        <w:br/>
      </w:r>
      <w:r w:rsidR="00CB139E" w:rsidRPr="00A22306">
        <w:rPr>
          <w:rFonts w:ascii="Arial" w:hAnsi="Arial" w:cs="Arial"/>
          <w:sz w:val="16"/>
          <w:szCs w:val="16"/>
        </w:rPr>
        <w:br/>
      </w:r>
      <w:r w:rsidRPr="00CB139E">
        <w:rPr>
          <w:rFonts w:ascii="Arial" w:hAnsi="Arial" w:cs="Arial"/>
          <w:sz w:val="20"/>
          <w:szCs w:val="20"/>
        </w:rPr>
        <w:t xml:space="preserve">Do not assume everything is ok because your client is “promoted” to the next grade level or is passing his classes; hold your client and his school to </w:t>
      </w:r>
      <w:r w:rsidR="00FA6E82">
        <w:rPr>
          <w:rFonts w:ascii="Arial" w:hAnsi="Arial" w:cs="Arial"/>
          <w:sz w:val="20"/>
          <w:szCs w:val="20"/>
        </w:rPr>
        <w:t xml:space="preserve">a </w:t>
      </w:r>
      <w:r w:rsidRPr="00CB139E">
        <w:rPr>
          <w:rFonts w:ascii="Arial" w:hAnsi="Arial" w:cs="Arial"/>
          <w:sz w:val="20"/>
          <w:szCs w:val="20"/>
        </w:rPr>
        <w:t xml:space="preserve">high standard. </w:t>
      </w:r>
      <w:r w:rsidR="00433312" w:rsidRPr="00CB139E">
        <w:rPr>
          <w:rFonts w:ascii="Arial" w:hAnsi="Arial" w:cs="Arial"/>
          <w:sz w:val="20"/>
          <w:szCs w:val="20"/>
        </w:rPr>
        <w:br/>
      </w:r>
      <w:r w:rsidR="00CB139E" w:rsidRPr="00A22306">
        <w:rPr>
          <w:rFonts w:ascii="Arial" w:hAnsi="Arial" w:cs="Arial"/>
          <w:sz w:val="16"/>
          <w:szCs w:val="16"/>
        </w:rPr>
        <w:br/>
      </w:r>
      <w:r w:rsidR="00433312" w:rsidRPr="00CB139E">
        <w:rPr>
          <w:rFonts w:ascii="Arial" w:hAnsi="Arial" w:cs="Arial"/>
          <w:sz w:val="20"/>
          <w:szCs w:val="20"/>
        </w:rPr>
        <w:t>R</w:t>
      </w:r>
      <w:r w:rsidRPr="00CB139E">
        <w:rPr>
          <w:rFonts w:ascii="Arial" w:hAnsi="Arial" w:cs="Arial"/>
          <w:sz w:val="20"/>
          <w:szCs w:val="20"/>
        </w:rPr>
        <w:t xml:space="preserve">emember that committed children have the right to remain in their home schools if it is in their best interest even when their placement changes.  </w:t>
      </w:r>
      <w:r w:rsidR="00433312" w:rsidRPr="00CB139E">
        <w:rPr>
          <w:rFonts w:ascii="Arial" w:hAnsi="Arial" w:cs="Arial"/>
          <w:sz w:val="20"/>
          <w:szCs w:val="20"/>
        </w:rPr>
        <w:br/>
      </w:r>
    </w:p>
    <w:p w14:paraId="707BF21A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3312">
        <w:rPr>
          <w:rFonts w:ascii="Arial" w:hAnsi="Arial" w:cs="Arial"/>
          <w:b/>
        </w:rPr>
        <w:t>Permanency is key.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 w:rsidR="00433312"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 xml:space="preserve">All youth need a stable adult in their lives as a permanent resource. Ask DCF for permanency meetings and team conferencing for any youth who does not have a permanency resource and is not a reunification candidate. </w:t>
      </w:r>
      <w:r w:rsidR="00433312">
        <w:rPr>
          <w:rFonts w:ascii="Arial" w:hAnsi="Arial" w:cs="Arial"/>
          <w:sz w:val="20"/>
          <w:szCs w:val="20"/>
        </w:rPr>
        <w:br/>
      </w:r>
    </w:p>
    <w:p w14:paraId="5E03D411" w14:textId="77777777" w:rsidR="00BA1BE4" w:rsidRPr="00BA1BE4" w:rsidRDefault="00433312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Remember the Specific Steps.</w:t>
      </w:r>
      <w:r>
        <w:rPr>
          <w:rFonts w:ascii="Arial" w:hAnsi="Arial" w:cs="Arial"/>
          <w:sz w:val="20"/>
          <w:szCs w:val="20"/>
        </w:rPr>
        <w:br/>
        <w:t>They are the blue</w:t>
      </w:r>
      <w:r w:rsidR="00BA1BE4" w:rsidRPr="00BA1BE4">
        <w:rPr>
          <w:rFonts w:ascii="Arial" w:hAnsi="Arial" w:cs="Arial"/>
          <w:sz w:val="20"/>
          <w:szCs w:val="20"/>
        </w:rPr>
        <w:t xml:space="preserve">print for reunification and can be used to hold DCF accountable. </w:t>
      </w:r>
    </w:p>
    <w:p w14:paraId="53EB7D7F" w14:textId="77777777" w:rsidR="00BA1BE4" w:rsidRPr="00BA1BE4" w:rsidRDefault="00BA1BE4" w:rsidP="00BA1BE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C3A4B81" w14:textId="0D7338C5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 xml:space="preserve">Independent Living Plan.  </w:t>
      </w:r>
      <w:r w:rsidR="00433312" w:rsidRPr="00433312">
        <w:rPr>
          <w:rFonts w:ascii="Arial" w:hAnsi="Arial" w:cs="Arial"/>
          <w:b/>
        </w:rPr>
        <w:br/>
      </w:r>
      <w:r w:rsidRPr="00BA1BE4">
        <w:rPr>
          <w:rFonts w:ascii="Arial" w:hAnsi="Arial" w:cs="Arial"/>
          <w:sz w:val="20"/>
          <w:szCs w:val="20"/>
        </w:rPr>
        <w:t>Remember that all older youths’ permanency plans must include</w:t>
      </w:r>
      <w:r w:rsidR="00CB139E">
        <w:rPr>
          <w:rFonts w:ascii="Arial" w:hAnsi="Arial" w:cs="Arial"/>
          <w:sz w:val="20"/>
          <w:szCs w:val="20"/>
        </w:rPr>
        <w:t xml:space="preserve"> an individualized plan for how</w:t>
      </w:r>
      <w:r w:rsidRPr="00BA1BE4">
        <w:rPr>
          <w:rFonts w:ascii="Arial" w:hAnsi="Arial" w:cs="Arial"/>
          <w:sz w:val="20"/>
          <w:szCs w:val="20"/>
        </w:rPr>
        <w:t xml:space="preserve"> </w:t>
      </w:r>
      <w:r w:rsidR="00DC7BFF">
        <w:rPr>
          <w:rFonts w:ascii="Arial" w:hAnsi="Arial" w:cs="Arial"/>
          <w:sz w:val="20"/>
          <w:szCs w:val="20"/>
        </w:rPr>
        <w:t xml:space="preserve">their </w:t>
      </w:r>
      <w:r w:rsidRPr="00BA1BE4">
        <w:rPr>
          <w:rFonts w:ascii="Arial" w:hAnsi="Arial" w:cs="Arial"/>
          <w:sz w:val="20"/>
          <w:szCs w:val="20"/>
        </w:rPr>
        <w:t xml:space="preserve">need for education, vocational training, benefits, housing, medical care and emotional supports will be met.   </w:t>
      </w:r>
      <w:r w:rsidR="00433312">
        <w:rPr>
          <w:rFonts w:ascii="Arial" w:hAnsi="Arial" w:cs="Arial"/>
          <w:sz w:val="20"/>
          <w:szCs w:val="20"/>
        </w:rPr>
        <w:br/>
      </w:r>
    </w:p>
    <w:p w14:paraId="336F4997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Visitation is essential and required, including visitation with siblings.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 w:rsidR="00433312"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>Think of creative ways to maximize visitation opportunities; if you do not get the visitation schedule your client needs, file a motion in court.</w:t>
      </w:r>
      <w:r w:rsidR="00433312">
        <w:rPr>
          <w:rFonts w:ascii="Arial" w:hAnsi="Arial" w:cs="Arial"/>
          <w:sz w:val="20"/>
          <w:szCs w:val="20"/>
        </w:rPr>
        <w:br/>
      </w:r>
    </w:p>
    <w:p w14:paraId="4F66E266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Seek the expertise of ARGs in DCF offices.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 w:rsidR="00433312"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 xml:space="preserve">Seek independent evaluations where necessary to increase or modify services or visitation or even permanency recommendations. </w:t>
      </w:r>
      <w:r w:rsidR="00433312">
        <w:rPr>
          <w:rFonts w:ascii="Arial" w:hAnsi="Arial" w:cs="Arial"/>
          <w:sz w:val="20"/>
          <w:szCs w:val="20"/>
        </w:rPr>
        <w:br/>
      </w:r>
    </w:p>
    <w:p w14:paraId="390833E7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File motions to support services and reunification.</w:t>
      </w:r>
      <w:r w:rsidRPr="00BA1BE4">
        <w:rPr>
          <w:rFonts w:ascii="Arial" w:hAnsi="Arial" w:cs="Arial"/>
          <w:sz w:val="20"/>
          <w:szCs w:val="20"/>
        </w:rPr>
        <w:t xml:space="preserve">  </w:t>
      </w:r>
      <w:r w:rsidR="00433312">
        <w:rPr>
          <w:rFonts w:ascii="Arial" w:hAnsi="Arial" w:cs="Arial"/>
          <w:sz w:val="20"/>
          <w:szCs w:val="20"/>
        </w:rPr>
        <w:br/>
        <w:t>The clock is ticking from</w:t>
      </w:r>
      <w:r w:rsidRPr="00BA1BE4">
        <w:rPr>
          <w:rFonts w:ascii="Arial" w:hAnsi="Arial" w:cs="Arial"/>
          <w:sz w:val="20"/>
          <w:szCs w:val="20"/>
        </w:rPr>
        <w:t xml:space="preserve"> the day of removal.  </w:t>
      </w:r>
      <w:r w:rsidR="00433312">
        <w:rPr>
          <w:rFonts w:ascii="Arial" w:hAnsi="Arial" w:cs="Arial"/>
          <w:sz w:val="20"/>
          <w:szCs w:val="20"/>
        </w:rPr>
        <w:br/>
      </w:r>
    </w:p>
    <w:p w14:paraId="0ABBFE63" w14:textId="1855A7AC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Pick up the phone; call a team meeting.</w:t>
      </w:r>
      <w:r w:rsidRPr="00BA1BE4">
        <w:rPr>
          <w:rFonts w:ascii="Arial" w:hAnsi="Arial" w:cs="Arial"/>
          <w:sz w:val="20"/>
          <w:szCs w:val="20"/>
        </w:rPr>
        <w:t xml:space="preserve"> </w:t>
      </w:r>
      <w:r w:rsidR="00433312"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>Often different entities involved in a child’s life – the</w:t>
      </w:r>
      <w:r w:rsidR="00DC7BFF">
        <w:rPr>
          <w:rFonts w:ascii="Arial" w:hAnsi="Arial" w:cs="Arial"/>
          <w:sz w:val="20"/>
          <w:szCs w:val="20"/>
        </w:rPr>
        <w:t>ir</w:t>
      </w:r>
      <w:r w:rsidRPr="00BA1BE4">
        <w:rPr>
          <w:rFonts w:ascii="Arial" w:hAnsi="Arial" w:cs="Arial"/>
          <w:sz w:val="20"/>
          <w:szCs w:val="20"/>
        </w:rPr>
        <w:t xml:space="preserve"> school, parents, pediatrician, service providers, group home leaders, therapists, mentors, DCF – do </w:t>
      </w:r>
      <w:r w:rsidR="00CB139E">
        <w:rPr>
          <w:rFonts w:ascii="Arial" w:hAnsi="Arial" w:cs="Arial"/>
          <w:sz w:val="20"/>
          <w:szCs w:val="20"/>
        </w:rPr>
        <w:t xml:space="preserve">not “talk” with one another. </w:t>
      </w:r>
      <w:r w:rsidRPr="00BA1BE4">
        <w:rPr>
          <w:rFonts w:ascii="Arial" w:hAnsi="Arial" w:cs="Arial"/>
          <w:sz w:val="20"/>
          <w:szCs w:val="20"/>
        </w:rPr>
        <w:t>As a lawyer, you can perform a tremendous service simply by getting all of the relevant parties to sit down together to talk through best st</w:t>
      </w:r>
      <w:r w:rsidR="00CB139E">
        <w:rPr>
          <w:rFonts w:ascii="Arial" w:hAnsi="Arial" w:cs="Arial"/>
          <w:sz w:val="20"/>
          <w:szCs w:val="20"/>
        </w:rPr>
        <w:t>rategies and share information.</w:t>
      </w:r>
      <w:r w:rsidRPr="00BA1BE4">
        <w:rPr>
          <w:rFonts w:ascii="Arial" w:hAnsi="Arial" w:cs="Arial"/>
          <w:sz w:val="20"/>
          <w:szCs w:val="20"/>
        </w:rPr>
        <w:t xml:space="preserve"> If an in-person meeting is too diffi</w:t>
      </w:r>
      <w:r w:rsidR="00CB139E">
        <w:rPr>
          <w:rFonts w:ascii="Arial" w:hAnsi="Arial" w:cs="Arial"/>
          <w:sz w:val="20"/>
          <w:szCs w:val="20"/>
        </w:rPr>
        <w:t>cult, set up a conference call. Using</w:t>
      </w:r>
      <w:r w:rsidRPr="00BA1BE4">
        <w:rPr>
          <w:rFonts w:ascii="Arial" w:hAnsi="Arial" w:cs="Arial"/>
          <w:sz w:val="20"/>
          <w:szCs w:val="20"/>
        </w:rPr>
        <w:t xml:space="preserve"> a team approach can seem time-consuming at first, but can save time down the road and yield far better results for your client.  </w:t>
      </w:r>
      <w:r w:rsidR="00433312">
        <w:rPr>
          <w:rFonts w:ascii="Arial" w:hAnsi="Arial" w:cs="Arial"/>
          <w:sz w:val="20"/>
          <w:szCs w:val="20"/>
        </w:rPr>
        <w:br/>
      </w:r>
    </w:p>
    <w:p w14:paraId="691ACACB" w14:textId="77777777" w:rsidR="00BA1BE4" w:rsidRPr="00BA1BE4" w:rsidRDefault="00BA1BE4" w:rsidP="004333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3312">
        <w:rPr>
          <w:rFonts w:ascii="Arial" w:hAnsi="Arial" w:cs="Arial"/>
          <w:b/>
        </w:rPr>
        <w:t>Ask for anything your client needs.</w:t>
      </w:r>
      <w:r w:rsidRPr="00BA1BE4">
        <w:rPr>
          <w:rFonts w:ascii="Arial" w:hAnsi="Arial" w:cs="Arial"/>
          <w:sz w:val="20"/>
          <w:szCs w:val="20"/>
        </w:rPr>
        <w:t xml:space="preserve">   </w:t>
      </w:r>
      <w:r w:rsidR="00433312">
        <w:rPr>
          <w:rFonts w:ascii="Arial" w:hAnsi="Arial" w:cs="Arial"/>
          <w:sz w:val="20"/>
          <w:szCs w:val="20"/>
        </w:rPr>
        <w:br/>
      </w:r>
      <w:r w:rsidRPr="00BA1BE4">
        <w:rPr>
          <w:rFonts w:ascii="Arial" w:hAnsi="Arial" w:cs="Arial"/>
          <w:sz w:val="20"/>
          <w:szCs w:val="20"/>
        </w:rPr>
        <w:t xml:space="preserve">Your client will receive zero percent of the services you don’t ask for.    </w:t>
      </w:r>
      <w:r w:rsidR="00433312">
        <w:rPr>
          <w:rFonts w:ascii="Arial" w:hAnsi="Arial" w:cs="Arial"/>
          <w:sz w:val="20"/>
          <w:szCs w:val="20"/>
        </w:rPr>
        <w:br/>
      </w:r>
    </w:p>
    <w:p w14:paraId="43E2BBBE" w14:textId="77777777" w:rsidR="00FC039A" w:rsidRPr="00CB139E" w:rsidRDefault="00BA1BE4" w:rsidP="00CB139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33312">
        <w:rPr>
          <w:rFonts w:ascii="Arial" w:hAnsi="Arial" w:cs="Arial"/>
          <w:b/>
        </w:rPr>
        <w:t>Seek technical assistance or support from peers and from the Center for Children’s Advocacy.</w:t>
      </w:r>
    </w:p>
    <w:sectPr w:rsidR="00FC039A" w:rsidRPr="00CB139E" w:rsidSect="0058228B">
      <w:footerReference w:type="default" r:id="rId9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1476" w14:textId="77777777" w:rsidR="006F2F93" w:rsidRDefault="006F2F93" w:rsidP="0058228B">
      <w:pPr>
        <w:spacing w:after="0" w:line="240" w:lineRule="auto"/>
      </w:pPr>
      <w:r>
        <w:separator/>
      </w:r>
    </w:p>
  </w:endnote>
  <w:endnote w:type="continuationSeparator" w:id="0">
    <w:p w14:paraId="05E5E2C9" w14:textId="77777777" w:rsidR="006F2F93" w:rsidRDefault="006F2F93" w:rsidP="0058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544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358C4E" w14:textId="116DE256" w:rsidR="0058228B" w:rsidRDefault="0058228B">
            <w:pPr>
              <w:pStyle w:val="Footer"/>
            </w:pPr>
            <w:r w:rsidRPr="0058228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96208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8228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96208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58228B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650745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ab/>
            </w:r>
            <w:r w:rsidR="00650745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ab/>
              <w:t>July 2019</w:t>
            </w:r>
          </w:p>
        </w:sdtContent>
      </w:sdt>
    </w:sdtContent>
  </w:sdt>
  <w:p w14:paraId="02547A69" w14:textId="77777777" w:rsidR="0058228B" w:rsidRDefault="0058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F980" w14:textId="77777777" w:rsidR="006F2F93" w:rsidRDefault="006F2F93" w:rsidP="0058228B">
      <w:pPr>
        <w:spacing w:after="0" w:line="240" w:lineRule="auto"/>
      </w:pPr>
      <w:r>
        <w:separator/>
      </w:r>
    </w:p>
  </w:footnote>
  <w:footnote w:type="continuationSeparator" w:id="0">
    <w:p w14:paraId="25B74FA9" w14:textId="77777777" w:rsidR="006F2F93" w:rsidRDefault="006F2F93" w:rsidP="0058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270"/>
    <w:multiLevelType w:val="hybridMultilevel"/>
    <w:tmpl w:val="5452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AEA"/>
    <w:multiLevelType w:val="hybridMultilevel"/>
    <w:tmpl w:val="7FDC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835"/>
    <w:multiLevelType w:val="multilevel"/>
    <w:tmpl w:val="C856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1354C0"/>
    <w:multiLevelType w:val="hybridMultilevel"/>
    <w:tmpl w:val="710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0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384D2C"/>
    <w:multiLevelType w:val="hybridMultilevel"/>
    <w:tmpl w:val="967A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9A"/>
    <w:rsid w:val="002932A5"/>
    <w:rsid w:val="002E1A5D"/>
    <w:rsid w:val="002F4A21"/>
    <w:rsid w:val="00334DCB"/>
    <w:rsid w:val="00352482"/>
    <w:rsid w:val="003E5FB3"/>
    <w:rsid w:val="00423F1B"/>
    <w:rsid w:val="00431674"/>
    <w:rsid w:val="00433312"/>
    <w:rsid w:val="00487288"/>
    <w:rsid w:val="00522BCB"/>
    <w:rsid w:val="00540751"/>
    <w:rsid w:val="0058228B"/>
    <w:rsid w:val="005B2C16"/>
    <w:rsid w:val="00650745"/>
    <w:rsid w:val="006603E4"/>
    <w:rsid w:val="00670A7C"/>
    <w:rsid w:val="006E1AA2"/>
    <w:rsid w:val="006F2F93"/>
    <w:rsid w:val="007D502A"/>
    <w:rsid w:val="00827A03"/>
    <w:rsid w:val="00855CE0"/>
    <w:rsid w:val="0098205E"/>
    <w:rsid w:val="00A22306"/>
    <w:rsid w:val="00A8677F"/>
    <w:rsid w:val="00BA1BE4"/>
    <w:rsid w:val="00BA687B"/>
    <w:rsid w:val="00BD245D"/>
    <w:rsid w:val="00BF28CA"/>
    <w:rsid w:val="00C55DB7"/>
    <w:rsid w:val="00C83F63"/>
    <w:rsid w:val="00C96208"/>
    <w:rsid w:val="00CB139E"/>
    <w:rsid w:val="00D86516"/>
    <w:rsid w:val="00DC7BFF"/>
    <w:rsid w:val="00EB358E"/>
    <w:rsid w:val="00F40EC6"/>
    <w:rsid w:val="00FA6E82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7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0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8B"/>
  </w:style>
  <w:style w:type="paragraph" w:styleId="Footer">
    <w:name w:val="footer"/>
    <w:basedOn w:val="Normal"/>
    <w:link w:val="FooterChar"/>
    <w:uiPriority w:val="99"/>
    <w:unhideWhenUsed/>
    <w:rsid w:val="0058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8B"/>
  </w:style>
  <w:style w:type="paragraph" w:customStyle="1" w:styleId="Style1">
    <w:name w:val="Style1"/>
    <w:basedOn w:val="Normal"/>
    <w:link w:val="Style1Char"/>
    <w:autoRedefine/>
    <w:qFormat/>
    <w:rsid w:val="00522BCB"/>
    <w:pPr>
      <w:spacing w:after="0" w:line="240" w:lineRule="auto"/>
    </w:pPr>
    <w:rPr>
      <w:rFonts w:ascii="Arial" w:eastAsia="Calibri" w:hAnsi="Arial" w:cs="Arial"/>
      <w:b/>
      <w:color w:val="00B0F0"/>
    </w:rPr>
  </w:style>
  <w:style w:type="character" w:customStyle="1" w:styleId="Style1Char">
    <w:name w:val="Style1 Char"/>
    <w:link w:val="Style1"/>
    <w:rsid w:val="00522BCB"/>
    <w:rPr>
      <w:rFonts w:ascii="Arial" w:eastAsia="Calibri" w:hAnsi="Arial" w:cs="Arial"/>
      <w:b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ca-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Eagan</dc:creator>
  <cp:lastModifiedBy>Bonnie Berk</cp:lastModifiedBy>
  <cp:revision>2</cp:revision>
  <cp:lastPrinted>2019-07-18T20:51:00Z</cp:lastPrinted>
  <dcterms:created xsi:type="dcterms:W3CDTF">2019-07-22T17:32:00Z</dcterms:created>
  <dcterms:modified xsi:type="dcterms:W3CDTF">2019-07-22T17:32:00Z</dcterms:modified>
</cp:coreProperties>
</file>